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bCs/>
          <w:kern w:val="0"/>
          <w:sz w:val="30"/>
          <w:szCs w:val="30"/>
        </w:rPr>
      </w:pPr>
      <w:r>
        <w:rPr>
          <w:rFonts w:hint="eastAsia" w:ascii="宋体" w:hAnsi="宋体"/>
          <w:b/>
          <w:bCs/>
          <w:kern w:val="0"/>
          <w:sz w:val="30"/>
          <w:szCs w:val="30"/>
        </w:rPr>
        <w:t>《</w:t>
      </w:r>
      <w:r>
        <w:rPr>
          <w:rFonts w:hint="eastAsia" w:ascii="宋体" w:hAnsi="宋体" w:cs="宋体"/>
          <w:b/>
          <w:bCs/>
          <w:sz w:val="30"/>
          <w:szCs w:val="30"/>
        </w:rPr>
        <w:t>卡牌</w:t>
      </w:r>
      <w:bookmarkStart w:id="0" w:name="_GoBack"/>
      <w:r>
        <w:rPr>
          <w:rFonts w:hint="eastAsia" w:ascii="宋体" w:hAnsi="宋体" w:cs="宋体"/>
          <w:b/>
          <w:bCs/>
          <w:sz w:val="30"/>
          <w:szCs w:val="30"/>
          <w:highlight w:val="none"/>
        </w:rPr>
        <w:t>玩具产品</w:t>
      </w:r>
      <w:bookmarkEnd w:id="0"/>
      <w:r>
        <w:rPr>
          <w:rFonts w:hint="eastAsia" w:ascii="宋体" w:hAnsi="宋体"/>
          <w:b/>
          <w:bCs/>
          <w:kern w:val="0"/>
          <w:sz w:val="30"/>
          <w:szCs w:val="30"/>
        </w:rPr>
        <w:t>》</w:t>
      </w:r>
      <w:r>
        <w:rPr>
          <w:rFonts w:hint="eastAsia" w:ascii="宋体" w:hAnsi="宋体"/>
          <w:b/>
          <w:bCs/>
          <w:kern w:val="0"/>
          <w:sz w:val="30"/>
          <w:szCs w:val="30"/>
          <w:lang w:eastAsia="zh-CN"/>
        </w:rPr>
        <w:t>（</w:t>
      </w:r>
      <w:r>
        <w:rPr>
          <w:rFonts w:hint="eastAsia" w:ascii="宋体" w:hAnsi="宋体"/>
          <w:b/>
          <w:bCs/>
          <w:kern w:val="0"/>
          <w:sz w:val="30"/>
          <w:szCs w:val="30"/>
          <w:lang w:val="en-US" w:eastAsia="zh-CN"/>
        </w:rPr>
        <w:t>征求意见稿）</w:t>
      </w:r>
    </w:p>
    <w:p>
      <w:pPr>
        <w:jc w:val="center"/>
        <w:rPr>
          <w:rFonts w:hint="eastAsia" w:ascii="宋体" w:hAnsi="宋体"/>
          <w:b/>
          <w:bCs/>
          <w:kern w:val="0"/>
          <w:sz w:val="30"/>
          <w:szCs w:val="30"/>
        </w:rPr>
      </w:pPr>
      <w:r>
        <w:rPr>
          <w:rFonts w:ascii="宋体" w:hAnsi="宋体"/>
          <w:b/>
          <w:bCs/>
          <w:kern w:val="0"/>
          <w:sz w:val="30"/>
          <w:szCs w:val="30"/>
        </w:rPr>
        <w:t>编制说</w:t>
      </w:r>
      <w:r>
        <w:rPr>
          <w:rFonts w:hint="eastAsia" w:ascii="宋体" w:hAnsi="宋体"/>
          <w:b/>
          <w:bCs/>
          <w:kern w:val="0"/>
          <w:sz w:val="30"/>
          <w:szCs w:val="30"/>
        </w:rPr>
        <w:t>明</w:t>
      </w:r>
    </w:p>
    <w:p>
      <w:pPr>
        <w:numPr>
          <w:ilvl w:val="0"/>
          <w:numId w:val="0"/>
        </w:numPr>
        <w:ind w:firstLine="0" w:firstLineChars="0"/>
        <w:jc w:val="both"/>
        <w:rPr>
          <w:rFonts w:ascii="宋体" w:hAnsi="宋体"/>
          <w:b/>
          <w:bCs/>
          <w:kern w:val="0"/>
          <w:sz w:val="28"/>
          <w:szCs w:val="28"/>
        </w:rPr>
      </w:pPr>
      <w:r>
        <w:rPr>
          <w:rFonts w:hint="eastAsia" w:ascii="宋体" w:hAnsi="宋体"/>
          <w:b/>
          <w:bCs/>
          <w:kern w:val="0"/>
          <w:sz w:val="28"/>
          <w:szCs w:val="28"/>
        </w:rPr>
        <w:t>一、工作简况</w:t>
      </w:r>
    </w:p>
    <w:p>
      <w:pPr>
        <w:spacing w:line="360" w:lineRule="auto"/>
        <w:ind w:firstLine="482" w:firstLineChars="200"/>
        <w:rPr>
          <w:rFonts w:hint="default" w:ascii="宋体" w:hAnsi="宋体" w:eastAsia="宋体"/>
          <w:kern w:val="0"/>
          <w:sz w:val="24"/>
          <w:lang w:val="en-US" w:eastAsia="zh-CN"/>
        </w:rPr>
      </w:pPr>
      <w:r>
        <w:rPr>
          <w:rFonts w:hint="eastAsia" w:ascii="宋体" w:hAnsi="宋体"/>
          <w:b/>
          <w:bCs/>
          <w:kern w:val="0"/>
          <w:sz w:val="24"/>
        </w:rPr>
        <w:t>1</w:t>
      </w:r>
      <w:r>
        <w:rPr>
          <w:rFonts w:ascii="宋体" w:hAnsi="宋体"/>
          <w:b/>
          <w:bCs/>
          <w:kern w:val="0"/>
          <w:sz w:val="24"/>
        </w:rPr>
        <w:t xml:space="preserve">) </w:t>
      </w:r>
      <w:r>
        <w:rPr>
          <w:rFonts w:hint="eastAsia" w:ascii="宋体" w:hAnsi="宋体"/>
          <w:b/>
          <w:bCs/>
          <w:kern w:val="0"/>
          <w:sz w:val="24"/>
        </w:rPr>
        <w:t>任务来源：</w:t>
      </w:r>
      <w:r>
        <w:rPr>
          <w:rFonts w:hint="eastAsia" w:ascii="宋体" w:hAnsi="宋体"/>
          <w:kern w:val="0"/>
          <w:sz w:val="24"/>
        </w:rPr>
        <w:t>本标准由中国轻工业联合会提出并归口。</w:t>
      </w:r>
    </w:p>
    <w:p>
      <w:pPr>
        <w:spacing w:line="360" w:lineRule="auto"/>
        <w:ind w:firstLine="482" w:firstLineChars="200"/>
        <w:rPr>
          <w:rFonts w:hint="eastAsia" w:ascii="宋体" w:hAnsi="宋体"/>
          <w:kern w:val="0"/>
          <w:sz w:val="24"/>
        </w:rPr>
      </w:pPr>
      <w:r>
        <w:rPr>
          <w:rFonts w:hint="eastAsia" w:ascii="宋体" w:hAnsi="宋体"/>
          <w:b/>
          <w:bCs/>
          <w:kern w:val="0"/>
          <w:sz w:val="24"/>
        </w:rPr>
        <w:t>2</w:t>
      </w:r>
      <w:r>
        <w:rPr>
          <w:rFonts w:ascii="宋体" w:hAnsi="宋体"/>
          <w:b/>
          <w:bCs/>
          <w:kern w:val="0"/>
          <w:sz w:val="24"/>
        </w:rPr>
        <w:t>)</w:t>
      </w:r>
      <w:r>
        <w:rPr>
          <w:rFonts w:hint="eastAsia" w:ascii="宋体" w:hAnsi="宋体"/>
          <w:b/>
          <w:bCs/>
          <w:kern w:val="0"/>
          <w:sz w:val="24"/>
        </w:rPr>
        <w:t>本标准主要参加单位：</w:t>
      </w:r>
      <w:r>
        <w:rPr>
          <w:rFonts w:hint="eastAsia" w:ascii="宋体" w:hAnsi="宋体"/>
          <w:kern w:val="0"/>
          <w:sz w:val="24"/>
        </w:rPr>
        <w:t>浙江卡游科技有限公司</w:t>
      </w:r>
      <w:r>
        <w:rPr>
          <w:rFonts w:hint="eastAsia" w:ascii="宋体" w:hAnsi="宋体"/>
          <w:b/>
          <w:bCs/>
          <w:kern w:val="0"/>
          <w:sz w:val="24"/>
        </w:rPr>
        <w:t>、</w:t>
      </w:r>
      <w:r>
        <w:rPr>
          <w:rFonts w:hint="eastAsia" w:ascii="宋体" w:hAnsi="宋体"/>
          <w:kern w:val="0"/>
          <w:sz w:val="24"/>
        </w:rPr>
        <w:t>西安理工大学、上海标检产品检测有限公司（STC）、北京中轻联认证中心有限公司、杭华油墨股份有限公司、黄山永新股份有限公司、宁波亚洲浆纸业有限公司等。</w:t>
      </w:r>
    </w:p>
    <w:p>
      <w:pPr>
        <w:spacing w:line="360" w:lineRule="auto"/>
        <w:ind w:firstLine="482" w:firstLineChars="200"/>
        <w:rPr>
          <w:rFonts w:ascii="宋体" w:hAnsi="宋体"/>
          <w:b/>
          <w:bCs/>
          <w:kern w:val="0"/>
          <w:sz w:val="24"/>
        </w:rPr>
      </w:pPr>
      <w:r>
        <w:rPr>
          <w:rFonts w:hint="eastAsia" w:ascii="宋体" w:hAnsi="宋体"/>
          <w:b/>
          <w:bCs/>
          <w:kern w:val="0"/>
          <w:sz w:val="24"/>
        </w:rPr>
        <w:t>3）主要工作过程</w:t>
      </w:r>
    </w:p>
    <w:p>
      <w:pPr>
        <w:spacing w:line="360" w:lineRule="auto"/>
        <w:ind w:firstLine="480" w:firstLineChars="200"/>
        <w:rPr>
          <w:rFonts w:ascii="宋体" w:hAnsi="宋体"/>
          <w:kern w:val="0"/>
          <w:sz w:val="24"/>
        </w:rPr>
      </w:pPr>
      <w:r>
        <w:rPr>
          <w:rFonts w:hint="eastAsia" w:ascii="宋体" w:hAnsi="宋体"/>
          <w:kern w:val="0"/>
          <w:sz w:val="24"/>
        </w:rPr>
        <w:t>2021年7～8月，调研、收集和分析国内外相关数据，为制定标准打下基础。</w:t>
      </w:r>
    </w:p>
    <w:p>
      <w:pPr>
        <w:spacing w:line="360" w:lineRule="auto"/>
        <w:ind w:firstLine="480" w:firstLineChars="200"/>
        <w:rPr>
          <w:rFonts w:ascii="宋体" w:hAnsi="宋体"/>
          <w:kern w:val="0"/>
          <w:sz w:val="24"/>
        </w:rPr>
      </w:pPr>
      <w:r>
        <w:rPr>
          <w:rFonts w:hint="eastAsia" w:ascii="宋体" w:hAnsi="宋体"/>
          <w:kern w:val="0"/>
          <w:sz w:val="24"/>
        </w:rPr>
        <w:t>2021年9月～2022年3月，选取样品并进行试验，为确定试验参数和具体细节提供依据，形成标准草稿。</w:t>
      </w:r>
    </w:p>
    <w:p>
      <w:pPr>
        <w:spacing w:line="360" w:lineRule="auto"/>
        <w:ind w:firstLine="480" w:firstLineChars="200"/>
        <w:rPr>
          <w:rFonts w:ascii="宋体" w:hAnsi="宋体"/>
          <w:kern w:val="0"/>
          <w:sz w:val="24"/>
        </w:rPr>
      </w:pPr>
      <w:r>
        <w:rPr>
          <w:rFonts w:hint="eastAsia" w:ascii="宋体" w:hAnsi="宋体"/>
          <w:kern w:val="0"/>
          <w:sz w:val="24"/>
        </w:rPr>
        <w:t>2022年4～6月，经起草小组研讨、修改后，形成征求意见稿。</w:t>
      </w:r>
    </w:p>
    <w:p>
      <w:pPr>
        <w:spacing w:line="360" w:lineRule="auto"/>
        <w:ind w:firstLine="482" w:firstLineChars="200"/>
        <w:rPr>
          <w:rFonts w:ascii="宋体" w:hAnsi="宋体"/>
          <w:b/>
          <w:bCs/>
          <w:kern w:val="0"/>
          <w:sz w:val="24"/>
        </w:rPr>
      </w:pPr>
      <w:r>
        <w:rPr>
          <w:rFonts w:hint="eastAsia" w:ascii="宋体" w:hAnsi="宋体"/>
          <w:b/>
          <w:bCs/>
          <w:kern w:val="0"/>
          <w:sz w:val="24"/>
          <w:lang w:val="en-US" w:eastAsia="zh-CN"/>
        </w:rPr>
        <w:t>4）</w:t>
      </w:r>
      <w:r>
        <w:rPr>
          <w:rFonts w:hint="eastAsia" w:ascii="宋体" w:hAnsi="宋体"/>
          <w:b/>
          <w:bCs/>
          <w:kern w:val="0"/>
          <w:sz w:val="24"/>
        </w:rPr>
        <w:t>主要参加单位和工作成员及其所作工作</w:t>
      </w:r>
    </w:p>
    <w:p>
      <w:pPr>
        <w:spacing w:line="360" w:lineRule="auto"/>
        <w:ind w:firstLine="480" w:firstLineChars="200"/>
        <w:rPr>
          <w:rFonts w:hint="eastAsia" w:ascii="宋体" w:hAnsi="宋体" w:eastAsia="宋体"/>
          <w:kern w:val="0"/>
          <w:sz w:val="24"/>
          <w:lang w:eastAsia="zh-CN"/>
        </w:rPr>
      </w:pPr>
      <w:r>
        <w:rPr>
          <w:rFonts w:hint="eastAsia" w:ascii="宋体" w:hAnsi="宋体"/>
          <w:kern w:val="0"/>
          <w:sz w:val="24"/>
        </w:rPr>
        <w:t>本标准由西安理工大学完成资料收集、国内外状况分析及编制标准文本初稿任务，由上海标检产品检测有限公司（STC）完成必要的实验验证，由杭华油墨股份有限公司、黄山永新股份有限公司、宁波亚洲浆纸业有限公司协助完成资料收集及标准文本初稿编制任务。</w:t>
      </w:r>
    </w:p>
    <w:p>
      <w:pPr>
        <w:numPr>
          <w:ilvl w:val="0"/>
          <w:numId w:val="0"/>
        </w:numPr>
        <w:ind w:firstLine="0" w:firstLineChars="0"/>
        <w:jc w:val="left"/>
        <w:rPr>
          <w:rFonts w:ascii="宋体" w:hAnsi="宋体"/>
          <w:color w:val="FF0000"/>
          <w:kern w:val="0"/>
          <w:sz w:val="28"/>
          <w:szCs w:val="28"/>
        </w:rPr>
      </w:pPr>
      <w:r>
        <w:rPr>
          <w:rFonts w:hint="eastAsia" w:ascii="宋体" w:hAnsi="宋体"/>
          <w:b/>
          <w:bCs/>
          <w:kern w:val="0"/>
          <w:sz w:val="28"/>
          <w:szCs w:val="28"/>
        </w:rPr>
        <w:t>二、标准编制原则和主要内容</w:t>
      </w:r>
    </w:p>
    <w:p>
      <w:pPr>
        <w:spacing w:line="360" w:lineRule="auto"/>
        <w:ind w:firstLine="480" w:firstLineChars="200"/>
        <w:rPr>
          <w:rFonts w:ascii="宋体" w:hAnsi="宋体"/>
          <w:kern w:val="0"/>
          <w:sz w:val="24"/>
        </w:rPr>
      </w:pPr>
      <w:r>
        <w:rPr>
          <w:rFonts w:hint="eastAsia" w:ascii="宋体" w:hAnsi="宋体"/>
          <w:kern w:val="0"/>
          <w:sz w:val="24"/>
        </w:rPr>
        <w:t>1制定标准的原则</w:t>
      </w:r>
    </w:p>
    <w:p>
      <w:pPr>
        <w:spacing w:line="360" w:lineRule="auto"/>
        <w:ind w:firstLine="480" w:firstLineChars="200"/>
        <w:rPr>
          <w:rFonts w:ascii="宋体" w:hAnsi="宋体"/>
          <w:kern w:val="0"/>
          <w:sz w:val="24"/>
        </w:rPr>
      </w:pPr>
      <w:r>
        <w:rPr>
          <w:rFonts w:hint="eastAsia" w:ascii="宋体" w:hAnsi="宋体"/>
          <w:kern w:val="0"/>
          <w:sz w:val="24"/>
        </w:rPr>
        <w:t>1.1标准编写格式按照</w:t>
      </w:r>
      <w:r>
        <w:rPr>
          <w:rFonts w:hint="eastAsia" w:ascii="宋体" w:hAnsi="宋体"/>
          <w:sz w:val="24"/>
        </w:rPr>
        <w:t>GB/T1.1-2020《标准化工作导则 第1部分：标准化文件的结构和起草规则》的规定起草</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1.2遵循科学性、先进性、统一性和合理性的原则，合理制定标准。</w:t>
      </w:r>
    </w:p>
    <w:p>
      <w:pPr>
        <w:spacing w:line="360" w:lineRule="auto"/>
        <w:ind w:firstLine="480" w:firstLineChars="200"/>
        <w:rPr>
          <w:rFonts w:ascii="宋体" w:hAnsi="宋体"/>
          <w:kern w:val="0"/>
          <w:sz w:val="24"/>
        </w:rPr>
      </w:pPr>
      <w:r>
        <w:rPr>
          <w:rFonts w:hint="eastAsia" w:ascii="宋体" w:hAnsi="宋体"/>
          <w:kern w:val="0"/>
          <w:sz w:val="24"/>
        </w:rPr>
        <w:t>1.3标准符合产品的生产工艺特点和产品特性，兼顾下游实际需求。技术指标宽严得当，本着“技术先进、符合国情”的指导思想，既能适应实际生产，又能体现产品特性及技术进步要求。</w:t>
      </w:r>
    </w:p>
    <w:p>
      <w:pPr>
        <w:spacing w:line="360" w:lineRule="auto"/>
        <w:ind w:firstLine="480" w:firstLineChars="200"/>
        <w:rPr>
          <w:rFonts w:ascii="宋体" w:hAnsi="宋体"/>
          <w:kern w:val="0"/>
          <w:sz w:val="24"/>
        </w:rPr>
      </w:pPr>
      <w:r>
        <w:rPr>
          <w:rFonts w:hint="eastAsia" w:ascii="宋体" w:hAnsi="宋体"/>
          <w:kern w:val="0"/>
          <w:sz w:val="24"/>
        </w:rPr>
        <w:t>1.4测试的方法采用已采标的标准中的试验方法标准，以体现标准的统一性和协调性，以确保试验结果的可比性。</w:t>
      </w:r>
    </w:p>
    <w:p>
      <w:pPr>
        <w:spacing w:line="360" w:lineRule="auto"/>
        <w:ind w:firstLine="480" w:firstLineChars="200"/>
        <w:rPr>
          <w:rFonts w:ascii="宋体" w:hAnsi="宋体"/>
          <w:kern w:val="0"/>
          <w:sz w:val="24"/>
        </w:rPr>
      </w:pPr>
      <w:r>
        <w:rPr>
          <w:rFonts w:hint="eastAsia" w:ascii="宋体" w:hAnsi="宋体"/>
          <w:kern w:val="0"/>
          <w:sz w:val="24"/>
        </w:rPr>
        <w:t>2制定文件的主要内容</w:t>
      </w:r>
    </w:p>
    <w:p>
      <w:pPr>
        <w:spacing w:line="360" w:lineRule="auto"/>
        <w:ind w:firstLine="480" w:firstLineChars="200"/>
        <w:rPr>
          <w:rFonts w:ascii="宋体" w:hAnsi="宋体"/>
          <w:kern w:val="0"/>
          <w:sz w:val="24"/>
        </w:rPr>
      </w:pPr>
      <w:r>
        <w:rPr>
          <w:rFonts w:hint="eastAsia" w:ascii="宋体" w:hAnsi="宋体"/>
          <w:kern w:val="0"/>
          <w:sz w:val="24"/>
        </w:rPr>
        <w:t>2.1适用范围</w:t>
      </w:r>
    </w:p>
    <w:p>
      <w:pPr>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本文件规定了卡牌</w:t>
      </w:r>
      <w:r>
        <w:rPr>
          <w:rFonts w:hint="eastAsia" w:ascii="宋体" w:hAnsi="宋体" w:eastAsia="宋体"/>
          <w:color w:val="000000" w:themeColor="text1"/>
          <w:sz w:val="24"/>
          <w:szCs w:val="24"/>
          <w:lang w:val="en-US" w:eastAsia="zh-CN"/>
          <w14:textFill>
            <w14:solidFill>
              <w14:schemeClr w14:val="tx1"/>
            </w14:solidFill>
          </w14:textFill>
        </w:rPr>
        <w:t>玩具产品</w:t>
      </w:r>
      <w:r>
        <w:rPr>
          <w:rFonts w:hint="eastAsia" w:ascii="宋体" w:hAnsi="宋体" w:eastAsia="宋体"/>
          <w:color w:val="000000" w:themeColor="text1"/>
          <w:sz w:val="24"/>
          <w:szCs w:val="24"/>
          <w14:textFill>
            <w14:solidFill>
              <w14:schemeClr w14:val="tx1"/>
            </w14:solidFill>
          </w14:textFill>
        </w:rPr>
        <w:t>的</w:t>
      </w:r>
      <w:r>
        <w:rPr>
          <w:rFonts w:hint="eastAsia" w:ascii="宋体" w:hAnsi="宋体" w:eastAsia="宋体"/>
          <w:color w:val="000000" w:themeColor="text1"/>
          <w:sz w:val="24"/>
          <w:szCs w:val="24"/>
          <w:lang w:val="en-US" w:eastAsia="zh-CN"/>
          <w14:textFill>
            <w14:solidFill>
              <w14:schemeClr w14:val="tx1"/>
            </w14:solidFill>
          </w14:textFill>
        </w:rPr>
        <w:t>设计、材料的</w:t>
      </w:r>
      <w:r>
        <w:rPr>
          <w:rFonts w:hint="eastAsia" w:ascii="宋体" w:hAnsi="宋体" w:eastAsia="宋体"/>
          <w:color w:val="000000" w:themeColor="text1"/>
          <w:sz w:val="24"/>
          <w:szCs w:val="24"/>
          <w14:textFill>
            <w14:solidFill>
              <w14:schemeClr w14:val="tx1"/>
            </w14:solidFill>
          </w14:textFill>
        </w:rPr>
        <w:t>基本要求</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以及外观、物理、化学等</w:t>
      </w:r>
      <w:r>
        <w:rPr>
          <w:rFonts w:hint="eastAsia" w:ascii="宋体" w:hAnsi="宋体" w:eastAsia="宋体"/>
          <w:color w:val="000000" w:themeColor="text1"/>
          <w:sz w:val="24"/>
          <w:szCs w:val="24"/>
          <w14:textFill>
            <w14:solidFill>
              <w14:schemeClr w14:val="tx1"/>
            </w14:solidFill>
          </w14:textFill>
        </w:rPr>
        <w:t>技术要求</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描述了相应的</w:t>
      </w:r>
      <w:r>
        <w:rPr>
          <w:rFonts w:hint="eastAsia" w:ascii="宋体" w:hAnsi="宋体" w:eastAsia="宋体"/>
          <w:color w:val="000000" w:themeColor="text1"/>
          <w:sz w:val="24"/>
          <w:szCs w:val="24"/>
          <w14:textFill>
            <w14:solidFill>
              <w14:schemeClr w14:val="tx1"/>
            </w14:solidFill>
          </w14:textFill>
        </w:rPr>
        <w:t>试验方法</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并规定了</w:t>
      </w:r>
      <w:r>
        <w:rPr>
          <w:rFonts w:hint="eastAsia" w:ascii="宋体" w:hAnsi="宋体" w:eastAsia="宋体"/>
          <w:color w:val="000000" w:themeColor="text1"/>
          <w:sz w:val="24"/>
          <w:szCs w:val="24"/>
          <w14:textFill>
            <w14:solidFill>
              <w14:schemeClr w14:val="tx1"/>
            </w14:solidFill>
          </w14:textFill>
        </w:rPr>
        <w:t>检验规则、</w:t>
      </w:r>
      <w:r>
        <w:rPr>
          <w:rFonts w:hint="eastAsia" w:ascii="宋体" w:hAnsi="宋体" w:eastAsia="宋体"/>
          <w:color w:val="000000" w:themeColor="text1"/>
          <w:sz w:val="24"/>
          <w:szCs w:val="24"/>
          <w:lang w:val="en-US" w:eastAsia="zh-CN"/>
          <w14:textFill>
            <w14:solidFill>
              <w14:schemeClr w14:val="tx1"/>
            </w14:solidFill>
          </w14:textFill>
        </w:rPr>
        <w:t>标志</w:t>
      </w:r>
      <w:r>
        <w:rPr>
          <w:rFonts w:hint="eastAsia" w:ascii="宋体" w:hAnsi="宋体" w:eastAsia="宋体"/>
          <w:color w:val="000000" w:themeColor="text1"/>
          <w:sz w:val="24"/>
          <w:szCs w:val="24"/>
          <w14:textFill>
            <w14:solidFill>
              <w14:schemeClr w14:val="tx1"/>
            </w14:solidFill>
          </w14:textFill>
        </w:rPr>
        <w:t>、包装、运输与贮存</w:t>
      </w:r>
      <w:r>
        <w:rPr>
          <w:rFonts w:hint="eastAsia" w:ascii="宋体" w:hAnsi="宋体" w:eastAsia="宋体"/>
          <w:color w:val="000000" w:themeColor="text1"/>
          <w:sz w:val="24"/>
          <w:szCs w:val="24"/>
          <w:lang w:val="en-US" w:eastAsia="zh-CN"/>
          <w14:textFill>
            <w14:solidFill>
              <w14:schemeClr w14:val="tx1"/>
            </w14:solidFill>
          </w14:textFill>
        </w:rPr>
        <w:t>的内容</w:t>
      </w:r>
      <w:r>
        <w:rPr>
          <w:rFonts w:hint="eastAsia" w:ascii="宋体" w:hAnsi="宋体" w:eastAsia="宋体"/>
          <w:color w:val="000000" w:themeColor="text1"/>
          <w:sz w:val="24"/>
          <w:szCs w:val="24"/>
          <w14:textFill>
            <w14:solidFill>
              <w14:schemeClr w14:val="tx1"/>
            </w14:solidFill>
          </w14:textFill>
        </w:rPr>
        <w:t>。</w:t>
      </w:r>
    </w:p>
    <w:p>
      <w:pPr>
        <w:spacing w:line="360" w:lineRule="auto"/>
        <w:ind w:firstLine="480" w:firstLineChars="200"/>
        <w:rPr>
          <w:rFonts w:ascii="宋体" w:hAnsi="宋体"/>
          <w:kern w:val="0"/>
          <w:sz w:val="24"/>
        </w:rPr>
      </w:pPr>
      <w:r>
        <w:rPr>
          <w:rFonts w:hint="eastAsia" w:ascii="宋体" w:hAnsi="宋体" w:eastAsia="宋体"/>
          <w:color w:val="000000" w:themeColor="text1"/>
          <w:sz w:val="24"/>
          <w:szCs w:val="24"/>
          <w14:textFill>
            <w14:solidFill>
              <w14:schemeClr w14:val="tx1"/>
            </w14:solidFill>
          </w14:textFill>
        </w:rPr>
        <w:t>本文件适用于以普通双面铜版纸及PET复合纸为主要材料生产的</w:t>
      </w:r>
      <w:r>
        <w:rPr>
          <w:rFonts w:hint="eastAsia" w:ascii="宋体" w:hAnsi="宋体" w:eastAsia="宋体"/>
          <w:color w:val="000000" w:themeColor="text1"/>
          <w:sz w:val="24"/>
          <w:szCs w:val="24"/>
          <w:lang w:val="en-US" w:eastAsia="zh-CN"/>
          <w14:textFill>
            <w14:solidFill>
              <w14:schemeClr w14:val="tx1"/>
            </w14:solidFill>
          </w14:textFill>
        </w:rPr>
        <w:t>供</w:t>
      </w:r>
      <w:r>
        <w:rPr>
          <w:rFonts w:hint="eastAsia" w:ascii="宋体" w:hAnsi="宋体" w:eastAsia="宋体"/>
          <w:color w:val="000000" w:themeColor="text1"/>
          <w:sz w:val="24"/>
          <w:szCs w:val="24"/>
          <w14:textFill>
            <w14:solidFill>
              <w14:schemeClr w14:val="tx1"/>
            </w14:solidFill>
          </w14:textFill>
        </w:rPr>
        <w:t>6岁以上儿童或成人玩耍或收藏</w:t>
      </w:r>
      <w:r>
        <w:rPr>
          <w:rFonts w:hint="eastAsia" w:ascii="宋体" w:hAnsi="宋体" w:eastAsia="宋体"/>
          <w:color w:val="000000" w:themeColor="text1"/>
          <w:sz w:val="24"/>
          <w:szCs w:val="24"/>
          <w:lang w:val="en-US" w:eastAsia="zh-CN"/>
          <w14:textFill>
            <w14:solidFill>
              <w14:schemeClr w14:val="tx1"/>
            </w14:solidFill>
          </w14:textFill>
        </w:rPr>
        <w:t>的</w:t>
      </w:r>
      <w:r>
        <w:rPr>
          <w:rFonts w:hint="eastAsia" w:ascii="宋体" w:hAnsi="宋体" w:eastAsia="宋体"/>
          <w:color w:val="000000" w:themeColor="text1"/>
          <w:sz w:val="24"/>
          <w:szCs w:val="24"/>
          <w14:textFill>
            <w14:solidFill>
              <w14:schemeClr w14:val="tx1"/>
            </w14:solidFill>
          </w14:textFill>
        </w:rPr>
        <w:t>卡牌</w:t>
      </w:r>
      <w:r>
        <w:rPr>
          <w:rFonts w:hint="eastAsia" w:ascii="宋体" w:hAnsi="宋体" w:eastAsia="宋体"/>
          <w:color w:val="000000" w:themeColor="text1"/>
          <w:sz w:val="24"/>
          <w:szCs w:val="24"/>
          <w:lang w:val="en-US" w:eastAsia="zh-CN"/>
          <w14:textFill>
            <w14:solidFill>
              <w14:schemeClr w14:val="tx1"/>
            </w14:solidFill>
          </w14:textFill>
        </w:rPr>
        <w:t>（以下简称“产品”）的设计、生产、检验和销售</w:t>
      </w:r>
      <w:r>
        <w:rPr>
          <w:rFonts w:hint="eastAsia" w:ascii="宋体" w:hAnsi="宋体" w:eastAsia="宋体"/>
          <w:color w:val="000000" w:themeColor="text1"/>
          <w:sz w:val="24"/>
          <w:szCs w:val="24"/>
          <w14:textFill>
            <w14:solidFill>
              <w14:schemeClr w14:val="tx1"/>
            </w14:solidFill>
          </w14:textFill>
        </w:rPr>
        <w:t>。</w:t>
      </w:r>
    </w:p>
    <w:p>
      <w:pPr>
        <w:spacing w:line="360" w:lineRule="auto"/>
        <w:ind w:firstLine="480" w:firstLineChars="200"/>
        <w:rPr>
          <w:rFonts w:ascii="宋体" w:hAnsi="宋体"/>
          <w:kern w:val="0"/>
          <w:sz w:val="24"/>
        </w:rPr>
      </w:pPr>
      <w:r>
        <w:rPr>
          <w:rFonts w:hint="eastAsia" w:ascii="宋体" w:hAnsi="宋体"/>
          <w:kern w:val="0"/>
          <w:sz w:val="24"/>
        </w:rPr>
        <w:t>2.2术语和定义</w:t>
      </w:r>
    </w:p>
    <w:p>
      <w:pPr>
        <w:spacing w:line="360" w:lineRule="auto"/>
        <w:ind w:firstLine="480" w:firstLineChars="200"/>
        <w:rPr>
          <w:rFonts w:ascii="宋体" w:hAnsi="宋体"/>
          <w:kern w:val="0"/>
          <w:sz w:val="24"/>
        </w:rPr>
      </w:pPr>
      <w:r>
        <w:rPr>
          <w:rFonts w:hint="eastAsia" w:ascii="宋体" w:hAnsi="宋体"/>
          <w:kern w:val="0"/>
          <w:sz w:val="24"/>
        </w:rPr>
        <w:t>除了GB6675.1、ISO12647-1、GB/T9851.4、GB/T22771、GB/T7705、GB/T9851.7界定的术语和定义适用于本文件之外，特别对“抗弯曲性”、“色差”、“起脏”进行了定义。</w:t>
      </w:r>
    </w:p>
    <w:p>
      <w:pPr>
        <w:ind w:firstLine="480" w:firstLineChars="200"/>
        <w:rPr>
          <w:rFonts w:ascii="宋体" w:hAnsi="宋体"/>
          <w:kern w:val="0"/>
          <w:sz w:val="24"/>
        </w:rPr>
      </w:pPr>
      <w:r>
        <w:rPr>
          <w:rFonts w:hint="eastAsia" w:ascii="宋体" w:hAnsi="宋体"/>
          <w:kern w:val="0"/>
          <w:sz w:val="24"/>
        </w:rPr>
        <w:t>抗弯曲性：</w:t>
      </w:r>
      <w:r>
        <w:rPr>
          <w:rFonts w:hint="eastAsia" w:ascii="宋体" w:hAnsi="宋体"/>
          <w:sz w:val="24"/>
        </w:rPr>
        <w:t>在GB/T 22364规定的试验条件下，卡牌在弹性变形范围内受力弯曲时所需要的力或力矩。</w:t>
      </w:r>
    </w:p>
    <w:p>
      <w:pPr>
        <w:ind w:firstLine="480" w:firstLineChars="200"/>
        <w:rPr>
          <w:rFonts w:ascii="宋体" w:hAnsi="宋体"/>
          <w:sz w:val="24"/>
        </w:rPr>
      </w:pPr>
      <w:r>
        <w:rPr>
          <w:rFonts w:hint="eastAsia" w:ascii="宋体" w:hAnsi="宋体"/>
          <w:kern w:val="0"/>
          <w:sz w:val="24"/>
        </w:rPr>
        <w:t>色差：</w:t>
      </w:r>
      <w:r>
        <w:rPr>
          <w:rFonts w:hint="eastAsia" w:ascii="宋体" w:hAnsi="宋体"/>
          <w:sz w:val="24"/>
        </w:rPr>
        <w:t>卡牌与卡牌间，印品与样稿间的颜色在</w:t>
      </w:r>
      <w:r>
        <w:rPr>
          <w:rFonts w:hint="eastAsia" w:ascii="宋体" w:hAnsi="宋体" w:eastAsia="宋体"/>
          <w:i/>
          <w:iCs/>
          <w:color w:val="000000" w:themeColor="text1"/>
          <w:sz w:val="24"/>
          <w:szCs w:val="24"/>
          <w14:textFill>
            <w14:solidFill>
              <w14:schemeClr w14:val="tx1"/>
            </w14:solidFill>
          </w14:textFill>
        </w:rPr>
        <w:t>L</w:t>
      </w:r>
      <w:r>
        <w:rPr>
          <w:rFonts w:hint="eastAsia" w:ascii="宋体" w:hAnsi="宋体" w:eastAsia="宋体"/>
          <w:color w:val="000000" w:themeColor="text1"/>
          <w:sz w:val="24"/>
          <w:szCs w:val="24"/>
          <w:vertAlign w:val="superscript"/>
          <w14:textFill>
            <w14:solidFill>
              <w14:schemeClr w14:val="tx1"/>
            </w14:solidFill>
          </w14:textFill>
        </w:rPr>
        <w:t>*</w:t>
      </w:r>
      <w:r>
        <w:rPr>
          <w:rFonts w:hint="eastAsia" w:ascii="宋体" w:hAnsi="宋体" w:eastAsia="宋体"/>
          <w:color w:val="000000" w:themeColor="text1"/>
          <w:sz w:val="24"/>
          <w:szCs w:val="24"/>
          <w:vertAlign w:val="baseline"/>
          <w:lang w:val="en-US" w:eastAsia="zh-CN"/>
          <w14:textFill>
            <w14:solidFill>
              <w14:schemeClr w14:val="tx1"/>
            </w14:solidFill>
          </w14:textFill>
        </w:rPr>
        <w:t>、</w:t>
      </w:r>
      <w:r>
        <w:rPr>
          <w:rFonts w:hint="eastAsia" w:ascii="宋体" w:hAnsi="宋体" w:eastAsia="宋体"/>
          <w:i/>
          <w:iCs/>
          <w:color w:val="000000" w:themeColor="text1"/>
          <w:sz w:val="24"/>
          <w:szCs w:val="24"/>
          <w14:textFill>
            <w14:solidFill>
              <w14:schemeClr w14:val="tx1"/>
            </w14:solidFill>
          </w14:textFill>
        </w:rPr>
        <w:t>a</w:t>
      </w:r>
      <w:r>
        <w:rPr>
          <w:rFonts w:hint="eastAsia" w:ascii="宋体" w:hAnsi="宋体" w:eastAsia="宋体"/>
          <w:color w:val="000000" w:themeColor="text1"/>
          <w:sz w:val="24"/>
          <w:szCs w:val="24"/>
          <w:vertAlign w:val="superscript"/>
          <w14:textFill>
            <w14:solidFill>
              <w14:schemeClr w14:val="tx1"/>
            </w14:solidFill>
          </w14:textFill>
        </w:rPr>
        <w:t>*</w:t>
      </w:r>
      <w:r>
        <w:rPr>
          <w:rFonts w:hint="eastAsia" w:ascii="宋体" w:hAnsi="宋体" w:eastAsia="宋体"/>
          <w:color w:val="000000" w:themeColor="text1"/>
          <w:sz w:val="24"/>
          <w:szCs w:val="24"/>
          <w:vertAlign w:val="baseline"/>
          <w:lang w:val="en-US" w:eastAsia="zh-CN"/>
          <w14:textFill>
            <w14:solidFill>
              <w14:schemeClr w14:val="tx1"/>
            </w14:solidFill>
          </w14:textFill>
        </w:rPr>
        <w:t>、</w:t>
      </w:r>
      <w:r>
        <w:rPr>
          <w:rFonts w:ascii="宋体" w:hAnsi="宋体" w:eastAsia="宋体"/>
          <w:i/>
          <w:iCs/>
          <w:color w:val="000000" w:themeColor="text1"/>
          <w:sz w:val="24"/>
          <w:szCs w:val="24"/>
          <w14:textFill>
            <w14:solidFill>
              <w14:schemeClr w14:val="tx1"/>
            </w14:solidFill>
          </w14:textFill>
        </w:rPr>
        <w:t>b</w:t>
      </w:r>
      <w:r>
        <w:rPr>
          <w:rFonts w:hint="eastAsia" w:ascii="宋体" w:hAnsi="宋体" w:eastAsia="宋体"/>
          <w:color w:val="000000" w:themeColor="text1"/>
          <w:sz w:val="24"/>
          <w:szCs w:val="24"/>
          <w:vertAlign w:val="superscript"/>
          <w14:textFill>
            <w14:solidFill>
              <w14:schemeClr w14:val="tx1"/>
            </w14:solidFill>
          </w14:textFill>
        </w:rPr>
        <w:t>*</w:t>
      </w:r>
      <w:r>
        <w:rPr>
          <w:rFonts w:hint="eastAsia" w:ascii="宋体" w:hAnsi="宋体"/>
          <w:sz w:val="24"/>
        </w:rPr>
        <w:t>空间中代表的点的欧式距离。</w:t>
      </w:r>
    </w:p>
    <w:p>
      <w:pPr>
        <w:spacing w:line="360" w:lineRule="auto"/>
        <w:ind w:firstLine="480" w:firstLineChars="200"/>
        <w:rPr>
          <w:rFonts w:hint="eastAsia" w:ascii="宋体" w:hAnsi="宋体"/>
          <w:sz w:val="24"/>
          <w:highlight w:val="none"/>
          <w:lang w:val="en-US" w:eastAsia="zh-CN"/>
        </w:rPr>
      </w:pPr>
      <w:r>
        <w:rPr>
          <w:rFonts w:hint="eastAsia" w:ascii="宋体" w:hAnsi="宋体"/>
          <w:kern w:val="0"/>
          <w:sz w:val="24"/>
          <w:highlight w:val="none"/>
        </w:rPr>
        <w:t>起脏：</w:t>
      </w:r>
      <w:r>
        <w:rPr>
          <w:rFonts w:hint="eastAsia" w:ascii="宋体" w:hAnsi="宋体"/>
          <w:sz w:val="24"/>
          <w:highlight w:val="none"/>
        </w:rPr>
        <w:t>印版的非图文区域出现不应有的着墨或其他异物现象。</w:t>
      </w:r>
      <w:r>
        <w:rPr>
          <w:rFonts w:hint="eastAsia" w:ascii="宋体" w:hAnsi="宋体"/>
          <w:sz w:val="24"/>
          <w:highlight w:val="none"/>
          <w:lang w:val="en-US" w:eastAsia="zh-CN"/>
        </w:rPr>
        <w:t>起赃全文未用故删除</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增加缩略语，便于使用</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2.3基本要求</w:t>
      </w:r>
    </w:p>
    <w:p>
      <w:pPr>
        <w:spacing w:line="360" w:lineRule="auto"/>
        <w:ind w:firstLine="480" w:firstLineChars="200"/>
        <w:rPr>
          <w:rFonts w:hint="default" w:ascii="宋体" w:hAnsi="宋体" w:eastAsia="宋体"/>
          <w:kern w:val="0"/>
          <w:sz w:val="24"/>
          <w:highlight w:val="none"/>
          <w:lang w:val="en-US" w:eastAsia="zh-CN"/>
        </w:rPr>
      </w:pPr>
      <w:r>
        <w:rPr>
          <w:rFonts w:hint="eastAsia" w:ascii="宋体" w:hAnsi="宋体"/>
          <w:kern w:val="0"/>
          <w:sz w:val="24"/>
          <w:highlight w:val="none"/>
        </w:rPr>
        <w:t>卡牌玩具产品基本要求包含设计要求、材料要求，是在</w:t>
      </w:r>
      <w:r>
        <w:rPr>
          <w:rFonts w:hint="eastAsia" w:ascii="宋体" w:hAnsi="宋体"/>
          <w:kern w:val="0"/>
          <w:sz w:val="24"/>
          <w:highlight w:val="none"/>
          <w:lang w:val="en-US" w:eastAsia="zh-CN"/>
        </w:rPr>
        <w:t>工作组</w:t>
      </w:r>
      <w:r>
        <w:rPr>
          <w:rFonts w:hint="eastAsia" w:ascii="宋体" w:hAnsi="宋体"/>
          <w:kern w:val="0"/>
          <w:sz w:val="24"/>
          <w:highlight w:val="none"/>
        </w:rPr>
        <w:t>调研结果的基础上，对标相关行标、国标。</w:t>
      </w:r>
      <w:r>
        <w:rPr>
          <w:rFonts w:hint="eastAsia" w:ascii="宋体" w:hAnsi="宋体"/>
          <w:kern w:val="0"/>
          <w:sz w:val="24"/>
          <w:highlight w:val="none"/>
          <w:lang w:val="en-US" w:eastAsia="zh-CN"/>
        </w:rPr>
        <w:t>要写出具体标准以及具体对标结果，比如参照表1</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2.4技术要求</w:t>
      </w:r>
    </w:p>
    <w:p>
      <w:pPr>
        <w:spacing w:line="360" w:lineRule="auto"/>
        <w:ind w:firstLine="480" w:firstLineChars="200"/>
        <w:rPr>
          <w:rFonts w:ascii="宋体" w:hAnsi="宋体"/>
          <w:kern w:val="0"/>
          <w:sz w:val="24"/>
        </w:rPr>
      </w:pPr>
      <w:r>
        <w:rPr>
          <w:rFonts w:hint="eastAsia" w:ascii="宋体" w:hAnsi="宋体"/>
          <w:kern w:val="0"/>
          <w:sz w:val="24"/>
          <w:highlight w:val="none"/>
        </w:rPr>
        <w:t>技术要求基于先进性定位，结合</w:t>
      </w:r>
      <w:r>
        <w:rPr>
          <w:rFonts w:hint="eastAsia" w:ascii="宋体" w:hAnsi="宋体"/>
          <w:kern w:val="0"/>
          <w:sz w:val="24"/>
          <w:highlight w:val="none"/>
          <w:lang w:val="en-US" w:eastAsia="zh-CN"/>
        </w:rPr>
        <w:t>企业</w:t>
      </w:r>
      <w:r>
        <w:rPr>
          <w:rFonts w:hint="eastAsia" w:ascii="宋体" w:hAnsi="宋体"/>
          <w:kern w:val="0"/>
          <w:sz w:val="24"/>
          <w:highlight w:val="none"/>
        </w:rPr>
        <w:t>实际生产水平和产品屡次测</w:t>
      </w:r>
      <w:r>
        <w:rPr>
          <w:rFonts w:hint="eastAsia" w:ascii="宋体" w:hAnsi="宋体"/>
          <w:kern w:val="0"/>
          <w:sz w:val="24"/>
        </w:rPr>
        <w:t>试结果的调研，充分论证后确定技术项目和指标值。</w:t>
      </w:r>
    </w:p>
    <w:p>
      <w:pPr>
        <w:numPr>
          <w:ilvl w:val="0"/>
          <w:numId w:val="1"/>
        </w:numPr>
        <w:spacing w:line="360" w:lineRule="auto"/>
        <w:ind w:firstLine="480" w:firstLineChars="200"/>
        <w:rPr>
          <w:rFonts w:ascii="宋体" w:hAnsi="宋体"/>
          <w:kern w:val="0"/>
          <w:sz w:val="24"/>
        </w:rPr>
      </w:pPr>
      <w:r>
        <w:rPr>
          <w:rFonts w:hint="eastAsia" w:ascii="宋体" w:hAnsi="宋体"/>
          <w:kern w:val="0"/>
          <w:sz w:val="24"/>
        </w:rPr>
        <w:t>提高了产品化学安全精度技术指标</w:t>
      </w:r>
    </w:p>
    <w:p>
      <w:pPr>
        <w:spacing w:line="360" w:lineRule="auto"/>
        <w:ind w:firstLine="480" w:firstLineChars="200"/>
        <w:rPr>
          <w:rFonts w:ascii="宋体" w:hAnsi="宋体"/>
          <w:kern w:val="0"/>
          <w:sz w:val="24"/>
        </w:rPr>
      </w:pPr>
      <w:r>
        <w:rPr>
          <w:rFonts w:hint="eastAsia" w:ascii="宋体" w:hAnsi="宋体"/>
          <w:kern w:val="0"/>
          <w:sz w:val="24"/>
        </w:rPr>
        <w:t>为了体现产品的过程控制，表1中列出的卡牌化学安全指标对标欧标、优于国家标准、ISO标准要求，这对产品质量提高有很大的作用。</w:t>
      </w:r>
    </w:p>
    <w:p>
      <w:pPr>
        <w:jc w:val="center"/>
        <w:rPr>
          <w:rFonts w:ascii="宋体" w:hAnsi="宋体"/>
          <w:kern w:val="0"/>
          <w:sz w:val="24"/>
        </w:rPr>
      </w:pPr>
      <w:r>
        <w:rPr>
          <w:rFonts w:hint="eastAsia" w:ascii="宋体" w:hAnsi="宋体"/>
          <w:kern w:val="0"/>
          <w:sz w:val="24"/>
        </w:rPr>
        <w:t>表1 可迁移元素指标对比</w:t>
      </w:r>
    </w:p>
    <w:tbl>
      <w:tblPr>
        <w:tblStyle w:val="6"/>
        <w:tblpPr w:leftFromText="180" w:rightFromText="180" w:vertAnchor="text" w:horzAnchor="margin" w:tblpXSpec="center" w:tblpY="2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506"/>
        <w:gridCol w:w="150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rPr>
            </w:pPr>
            <w:r>
              <w:rPr>
                <w:rFonts w:hint="eastAsia"/>
                <w:sz w:val="24"/>
              </w:rPr>
              <w:t>类别</w:t>
            </w:r>
          </w:p>
        </w:tc>
        <w:tc>
          <w:tcPr>
            <w:tcW w:w="1506" w:type="dxa"/>
          </w:tcPr>
          <w:p>
            <w:pPr>
              <w:spacing w:line="360" w:lineRule="auto"/>
              <w:rPr>
                <w:sz w:val="24"/>
              </w:rPr>
            </w:pPr>
            <w:r>
              <w:rPr>
                <w:rFonts w:hint="eastAsia"/>
                <w:sz w:val="24"/>
              </w:rPr>
              <w:t>GB6675-4</w:t>
            </w:r>
          </w:p>
        </w:tc>
        <w:tc>
          <w:tcPr>
            <w:tcW w:w="1506" w:type="dxa"/>
          </w:tcPr>
          <w:p>
            <w:pPr>
              <w:spacing w:line="360" w:lineRule="auto"/>
              <w:rPr>
                <w:sz w:val="24"/>
              </w:rPr>
            </w:pPr>
            <w:r>
              <w:rPr>
                <w:rFonts w:hint="eastAsia"/>
                <w:sz w:val="24"/>
              </w:rPr>
              <w:t>ISO8124-3</w:t>
            </w:r>
          </w:p>
        </w:tc>
        <w:tc>
          <w:tcPr>
            <w:tcW w:w="1714" w:type="dxa"/>
          </w:tcPr>
          <w:p>
            <w:pPr>
              <w:spacing w:line="360" w:lineRule="auto"/>
              <w:rPr>
                <w:sz w:val="24"/>
              </w:rPr>
            </w:pPr>
            <w:r>
              <w:rPr>
                <w:rFonts w:hint="eastAsia"/>
                <w:sz w:val="24"/>
              </w:rPr>
              <w:t>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rPr>
            </w:pPr>
            <w:r>
              <w:rPr>
                <w:rFonts w:hint="eastAsia"/>
                <w:sz w:val="24"/>
              </w:rPr>
              <w:t>锑</w:t>
            </w:r>
          </w:p>
        </w:tc>
        <w:tc>
          <w:tcPr>
            <w:tcW w:w="1506" w:type="dxa"/>
          </w:tcPr>
          <w:p>
            <w:pPr>
              <w:spacing w:line="360" w:lineRule="auto"/>
              <w:rPr>
                <w:sz w:val="24"/>
              </w:rPr>
            </w:pPr>
            <w:r>
              <w:rPr>
                <w:rFonts w:hint="eastAsia"/>
                <w:sz w:val="24"/>
              </w:rPr>
              <w:t>60</w:t>
            </w:r>
          </w:p>
        </w:tc>
        <w:tc>
          <w:tcPr>
            <w:tcW w:w="1506" w:type="dxa"/>
          </w:tcPr>
          <w:p>
            <w:pPr>
              <w:spacing w:line="360" w:lineRule="auto"/>
              <w:rPr>
                <w:sz w:val="24"/>
              </w:rPr>
            </w:pPr>
            <w:r>
              <w:rPr>
                <w:rFonts w:hint="eastAsia"/>
                <w:sz w:val="24"/>
              </w:rPr>
              <w:t>60</w:t>
            </w:r>
          </w:p>
        </w:tc>
        <w:tc>
          <w:tcPr>
            <w:tcW w:w="1714" w:type="dxa"/>
          </w:tcPr>
          <w:p>
            <w:pPr>
              <w:spacing w:line="360" w:lineRule="auto"/>
              <w:rPr>
                <w:sz w:val="24"/>
              </w:rPr>
            </w:pPr>
            <w:r>
              <w:rPr>
                <w:rFonts w:hint="eastAsia"/>
                <w:sz w:val="24"/>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rPr>
            </w:pPr>
            <w:r>
              <w:rPr>
                <w:rFonts w:hint="eastAsia"/>
                <w:sz w:val="24"/>
              </w:rPr>
              <w:t>砷</w:t>
            </w:r>
          </w:p>
        </w:tc>
        <w:tc>
          <w:tcPr>
            <w:tcW w:w="1506" w:type="dxa"/>
          </w:tcPr>
          <w:p>
            <w:pPr>
              <w:spacing w:line="360" w:lineRule="auto"/>
              <w:rPr>
                <w:sz w:val="24"/>
              </w:rPr>
            </w:pPr>
            <w:r>
              <w:rPr>
                <w:rFonts w:hint="eastAsia"/>
                <w:sz w:val="24"/>
              </w:rPr>
              <w:t>25</w:t>
            </w:r>
          </w:p>
        </w:tc>
        <w:tc>
          <w:tcPr>
            <w:tcW w:w="1506" w:type="dxa"/>
          </w:tcPr>
          <w:p>
            <w:pPr>
              <w:spacing w:line="360" w:lineRule="auto"/>
              <w:rPr>
                <w:sz w:val="24"/>
              </w:rPr>
            </w:pPr>
            <w:r>
              <w:rPr>
                <w:rFonts w:hint="eastAsia"/>
                <w:sz w:val="24"/>
              </w:rPr>
              <w:t>25</w:t>
            </w:r>
          </w:p>
        </w:tc>
        <w:tc>
          <w:tcPr>
            <w:tcW w:w="1714" w:type="dxa"/>
          </w:tcPr>
          <w:p>
            <w:pPr>
              <w:spacing w:line="360" w:lineRule="auto"/>
              <w:rPr>
                <w:sz w:val="24"/>
              </w:rPr>
            </w:pPr>
            <w:r>
              <w:rPr>
                <w:rFonts w:hint="eastAsia"/>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06" w:type="dxa"/>
          </w:tcPr>
          <w:p>
            <w:pPr>
              <w:spacing w:line="360" w:lineRule="auto"/>
              <w:rPr>
                <w:sz w:val="24"/>
              </w:rPr>
            </w:pPr>
            <w:r>
              <w:rPr>
                <w:rFonts w:hint="eastAsia"/>
                <w:sz w:val="24"/>
              </w:rPr>
              <w:t>钡</w:t>
            </w:r>
          </w:p>
        </w:tc>
        <w:tc>
          <w:tcPr>
            <w:tcW w:w="1506" w:type="dxa"/>
          </w:tcPr>
          <w:p>
            <w:pPr>
              <w:spacing w:line="360" w:lineRule="auto"/>
              <w:rPr>
                <w:sz w:val="24"/>
              </w:rPr>
            </w:pPr>
            <w:r>
              <w:rPr>
                <w:rFonts w:hint="eastAsia"/>
                <w:sz w:val="24"/>
              </w:rPr>
              <w:t>1000</w:t>
            </w:r>
          </w:p>
        </w:tc>
        <w:tc>
          <w:tcPr>
            <w:tcW w:w="1506" w:type="dxa"/>
          </w:tcPr>
          <w:p>
            <w:pPr>
              <w:spacing w:line="360" w:lineRule="auto"/>
              <w:rPr>
                <w:sz w:val="24"/>
              </w:rPr>
            </w:pPr>
            <w:r>
              <w:rPr>
                <w:rFonts w:hint="eastAsia"/>
                <w:sz w:val="24"/>
              </w:rPr>
              <w:t>1000</w:t>
            </w:r>
          </w:p>
        </w:tc>
        <w:tc>
          <w:tcPr>
            <w:tcW w:w="1714" w:type="dxa"/>
          </w:tcPr>
          <w:p>
            <w:pPr>
              <w:spacing w:line="360" w:lineRule="auto"/>
              <w:rPr>
                <w:sz w:val="24"/>
              </w:rPr>
            </w:pPr>
            <w:r>
              <w:rPr>
                <w:rFonts w:hint="eastAsia"/>
                <w:sz w:val="24"/>
              </w:rPr>
              <w:t>18750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镉</w:t>
            </w:r>
          </w:p>
        </w:tc>
        <w:tc>
          <w:tcPr>
            <w:tcW w:w="1506" w:type="dxa"/>
          </w:tcPr>
          <w:p>
            <w:pPr>
              <w:spacing w:line="360" w:lineRule="auto"/>
              <w:rPr>
                <w:sz w:val="24"/>
                <w:highlight w:val="none"/>
              </w:rPr>
            </w:pPr>
            <w:r>
              <w:rPr>
                <w:rFonts w:hint="eastAsia"/>
                <w:sz w:val="24"/>
                <w:highlight w:val="none"/>
              </w:rPr>
              <w:t>75</w:t>
            </w:r>
          </w:p>
        </w:tc>
        <w:tc>
          <w:tcPr>
            <w:tcW w:w="1506" w:type="dxa"/>
          </w:tcPr>
          <w:p>
            <w:pPr>
              <w:spacing w:line="360" w:lineRule="auto"/>
              <w:rPr>
                <w:sz w:val="24"/>
                <w:highlight w:val="none"/>
              </w:rPr>
            </w:pPr>
            <w:r>
              <w:rPr>
                <w:rFonts w:hint="eastAsia"/>
                <w:sz w:val="24"/>
                <w:highlight w:val="none"/>
              </w:rPr>
              <w:t>75</w:t>
            </w:r>
          </w:p>
        </w:tc>
        <w:tc>
          <w:tcPr>
            <w:tcW w:w="1714" w:type="dxa"/>
          </w:tcPr>
          <w:p>
            <w:pPr>
              <w:spacing w:line="360" w:lineRule="auto"/>
              <w:rPr>
                <w:sz w:val="24"/>
                <w:highlight w:val="none"/>
              </w:rPr>
            </w:pPr>
            <w:r>
              <w:rPr>
                <w:rFonts w:hint="eastAsia"/>
                <w:sz w:val="24"/>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铬</w:t>
            </w:r>
          </w:p>
        </w:tc>
        <w:tc>
          <w:tcPr>
            <w:tcW w:w="1506" w:type="dxa"/>
          </w:tcPr>
          <w:p>
            <w:pPr>
              <w:spacing w:line="360" w:lineRule="auto"/>
              <w:rPr>
                <w:sz w:val="24"/>
                <w:highlight w:val="none"/>
              </w:rPr>
            </w:pPr>
            <w:r>
              <w:rPr>
                <w:rFonts w:hint="eastAsia"/>
                <w:sz w:val="24"/>
                <w:highlight w:val="none"/>
              </w:rPr>
              <w:t>60</w:t>
            </w:r>
          </w:p>
        </w:tc>
        <w:tc>
          <w:tcPr>
            <w:tcW w:w="1506" w:type="dxa"/>
          </w:tcPr>
          <w:p>
            <w:pPr>
              <w:spacing w:line="360" w:lineRule="auto"/>
              <w:rPr>
                <w:sz w:val="24"/>
                <w:highlight w:val="none"/>
              </w:rPr>
            </w:pPr>
            <w:r>
              <w:rPr>
                <w:rFonts w:hint="eastAsia"/>
                <w:sz w:val="24"/>
                <w:highlight w:val="none"/>
              </w:rPr>
              <w:t>60</w:t>
            </w:r>
          </w:p>
        </w:tc>
        <w:tc>
          <w:tcPr>
            <w:tcW w:w="1714" w:type="dxa"/>
          </w:tcPr>
          <w:p>
            <w:pPr>
              <w:spacing w:line="360" w:lineRule="auto"/>
              <w:rPr>
                <w:sz w:val="24"/>
                <w:highlight w:val="none"/>
              </w:rPr>
            </w:pPr>
            <w:r>
              <w:rPr>
                <w:rFonts w:hint="eastAsia"/>
                <w:sz w:val="24"/>
                <w:highlight w:val="none"/>
              </w:rPr>
              <w:t>460（三价）</w:t>
            </w:r>
          </w:p>
          <w:p>
            <w:pPr>
              <w:spacing w:line="360" w:lineRule="auto"/>
              <w:rPr>
                <w:sz w:val="24"/>
                <w:highlight w:val="none"/>
              </w:rPr>
            </w:pPr>
            <w:r>
              <w:rPr>
                <w:rFonts w:hint="eastAsia" w:ascii="宋体" w:hAnsi="宋体"/>
                <w:color w:val="000000"/>
                <w:sz w:val="24"/>
                <w:highlight w:val="none"/>
              </w:rPr>
              <w:t>0.2/0.053</w:t>
            </w:r>
            <w:r>
              <w:rPr>
                <w:rFonts w:hint="eastAsia" w:ascii="宋体" w:hAnsi="宋体"/>
                <w:color w:val="000000"/>
                <w:sz w:val="24"/>
                <w:highlight w:val="none"/>
                <w:vertAlign w:val="superscript"/>
              </w:rPr>
              <w:t>a</w:t>
            </w:r>
            <w:r>
              <w:rPr>
                <w:rFonts w:hint="eastAsia" w:ascii="宋体" w:hAnsi="宋体"/>
                <w:color w:val="000000"/>
                <w:sz w:val="24"/>
                <w:highlight w:val="none"/>
              </w:rPr>
              <w:t>（六价）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铅</w:t>
            </w:r>
          </w:p>
        </w:tc>
        <w:tc>
          <w:tcPr>
            <w:tcW w:w="1506" w:type="dxa"/>
          </w:tcPr>
          <w:p>
            <w:pPr>
              <w:spacing w:line="360" w:lineRule="auto"/>
              <w:rPr>
                <w:sz w:val="24"/>
                <w:highlight w:val="none"/>
              </w:rPr>
            </w:pPr>
            <w:r>
              <w:rPr>
                <w:rFonts w:hint="eastAsia"/>
                <w:sz w:val="24"/>
                <w:highlight w:val="none"/>
              </w:rPr>
              <w:t>90</w:t>
            </w:r>
          </w:p>
        </w:tc>
        <w:tc>
          <w:tcPr>
            <w:tcW w:w="1506" w:type="dxa"/>
          </w:tcPr>
          <w:p>
            <w:pPr>
              <w:spacing w:line="360" w:lineRule="auto"/>
              <w:rPr>
                <w:sz w:val="24"/>
                <w:highlight w:val="none"/>
              </w:rPr>
            </w:pPr>
            <w:r>
              <w:rPr>
                <w:rFonts w:hint="eastAsia"/>
                <w:sz w:val="24"/>
                <w:highlight w:val="none"/>
              </w:rPr>
              <w:t>90</w:t>
            </w:r>
          </w:p>
        </w:tc>
        <w:tc>
          <w:tcPr>
            <w:tcW w:w="1714" w:type="dxa"/>
          </w:tcPr>
          <w:p>
            <w:pPr>
              <w:spacing w:line="360" w:lineRule="auto"/>
              <w:rPr>
                <w:sz w:val="24"/>
                <w:highlight w:val="none"/>
              </w:rPr>
            </w:pPr>
            <w:r>
              <w:rPr>
                <w:rFonts w:hint="eastAsia"/>
                <w:sz w:val="24"/>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06" w:type="dxa"/>
          </w:tcPr>
          <w:p>
            <w:pPr>
              <w:spacing w:line="360" w:lineRule="auto"/>
              <w:rPr>
                <w:sz w:val="24"/>
                <w:highlight w:val="none"/>
              </w:rPr>
            </w:pPr>
            <w:r>
              <w:rPr>
                <w:rFonts w:hint="eastAsia"/>
                <w:sz w:val="24"/>
                <w:highlight w:val="none"/>
              </w:rPr>
              <w:t>汞</w:t>
            </w:r>
          </w:p>
        </w:tc>
        <w:tc>
          <w:tcPr>
            <w:tcW w:w="1506" w:type="dxa"/>
          </w:tcPr>
          <w:p>
            <w:pPr>
              <w:spacing w:line="360" w:lineRule="auto"/>
              <w:rPr>
                <w:sz w:val="24"/>
                <w:highlight w:val="none"/>
              </w:rPr>
            </w:pPr>
            <w:r>
              <w:rPr>
                <w:rFonts w:hint="eastAsia"/>
                <w:sz w:val="24"/>
                <w:highlight w:val="none"/>
              </w:rPr>
              <w:t>60</w:t>
            </w:r>
          </w:p>
        </w:tc>
        <w:tc>
          <w:tcPr>
            <w:tcW w:w="1506" w:type="dxa"/>
          </w:tcPr>
          <w:p>
            <w:pPr>
              <w:spacing w:line="360" w:lineRule="auto"/>
              <w:rPr>
                <w:sz w:val="24"/>
                <w:highlight w:val="none"/>
              </w:rPr>
            </w:pPr>
            <w:r>
              <w:rPr>
                <w:rFonts w:hint="eastAsia"/>
                <w:sz w:val="24"/>
                <w:highlight w:val="none"/>
              </w:rPr>
              <w:t>60</w:t>
            </w:r>
          </w:p>
        </w:tc>
        <w:tc>
          <w:tcPr>
            <w:tcW w:w="1714" w:type="dxa"/>
          </w:tcPr>
          <w:p>
            <w:pPr>
              <w:spacing w:line="360" w:lineRule="auto"/>
              <w:rPr>
                <w:sz w:val="24"/>
                <w:highlight w:val="none"/>
              </w:rPr>
            </w:pPr>
            <w:r>
              <w:rPr>
                <w:rFonts w:hint="eastAsia"/>
                <w:sz w:val="24"/>
                <w:highlight w:val="none"/>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硒</w:t>
            </w:r>
          </w:p>
        </w:tc>
        <w:tc>
          <w:tcPr>
            <w:tcW w:w="1506" w:type="dxa"/>
          </w:tcPr>
          <w:p>
            <w:pPr>
              <w:spacing w:line="360" w:lineRule="auto"/>
              <w:rPr>
                <w:sz w:val="24"/>
                <w:highlight w:val="none"/>
              </w:rPr>
            </w:pPr>
            <w:r>
              <w:rPr>
                <w:rFonts w:hint="eastAsia"/>
                <w:sz w:val="24"/>
                <w:highlight w:val="none"/>
              </w:rPr>
              <w:t>500</w:t>
            </w:r>
          </w:p>
        </w:tc>
        <w:tc>
          <w:tcPr>
            <w:tcW w:w="1506" w:type="dxa"/>
          </w:tcPr>
          <w:p>
            <w:pPr>
              <w:spacing w:line="360" w:lineRule="auto"/>
              <w:rPr>
                <w:sz w:val="24"/>
                <w:highlight w:val="none"/>
              </w:rPr>
            </w:pPr>
            <w:r>
              <w:rPr>
                <w:rFonts w:hint="eastAsia"/>
                <w:sz w:val="24"/>
                <w:highlight w:val="none"/>
              </w:rPr>
              <w:t>500</w:t>
            </w:r>
          </w:p>
        </w:tc>
        <w:tc>
          <w:tcPr>
            <w:tcW w:w="1714" w:type="dxa"/>
          </w:tcPr>
          <w:p>
            <w:pPr>
              <w:spacing w:line="360" w:lineRule="auto"/>
              <w:rPr>
                <w:sz w:val="24"/>
                <w:highlight w:val="none"/>
              </w:rPr>
            </w:pPr>
            <w:r>
              <w:rPr>
                <w:rFonts w:hint="eastAsia"/>
                <w:sz w:val="24"/>
                <w:highlight w:val="none"/>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铝</w:t>
            </w:r>
          </w:p>
        </w:tc>
        <w:tc>
          <w:tcPr>
            <w:tcW w:w="1506" w:type="dxa"/>
          </w:tcPr>
          <w:p>
            <w:pPr>
              <w:spacing w:line="360" w:lineRule="auto"/>
              <w:rPr>
                <w:sz w:val="24"/>
                <w:highlight w:val="none"/>
              </w:rPr>
            </w:pPr>
            <w:r>
              <w:rPr>
                <w:rFonts w:hint="eastAsia"/>
                <w:sz w:val="24"/>
                <w:highlight w:val="none"/>
              </w:rPr>
              <w:t>/</w:t>
            </w:r>
          </w:p>
        </w:tc>
        <w:tc>
          <w:tcPr>
            <w:tcW w:w="1506" w:type="dxa"/>
          </w:tcPr>
          <w:p>
            <w:pPr>
              <w:spacing w:line="360" w:lineRule="auto"/>
              <w:rPr>
                <w:sz w:val="24"/>
                <w:highlight w:val="none"/>
              </w:rPr>
            </w:pPr>
            <w:r>
              <w:rPr>
                <w:rFonts w:hint="eastAsia"/>
                <w:sz w:val="24"/>
                <w:highlight w:val="none"/>
              </w:rPr>
              <w:t>/</w:t>
            </w:r>
          </w:p>
        </w:tc>
        <w:tc>
          <w:tcPr>
            <w:tcW w:w="1714" w:type="dxa"/>
          </w:tcPr>
          <w:p>
            <w:pPr>
              <w:spacing w:line="360" w:lineRule="auto"/>
              <w:rPr>
                <w:sz w:val="24"/>
                <w:highlight w:val="none"/>
              </w:rPr>
            </w:pPr>
            <w:r>
              <w:rPr>
                <w:rFonts w:hint="eastAsia"/>
                <w:sz w:val="24"/>
                <w:highlight w:val="none"/>
              </w:rPr>
              <w:t>28130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硼</w:t>
            </w:r>
          </w:p>
        </w:tc>
        <w:tc>
          <w:tcPr>
            <w:tcW w:w="1506" w:type="dxa"/>
          </w:tcPr>
          <w:p>
            <w:pPr>
              <w:spacing w:line="360" w:lineRule="auto"/>
              <w:rPr>
                <w:sz w:val="24"/>
                <w:highlight w:val="none"/>
              </w:rPr>
            </w:pPr>
            <w:r>
              <w:rPr>
                <w:rFonts w:hint="eastAsia"/>
                <w:sz w:val="24"/>
                <w:highlight w:val="none"/>
              </w:rPr>
              <w:t>/</w:t>
            </w:r>
          </w:p>
        </w:tc>
        <w:tc>
          <w:tcPr>
            <w:tcW w:w="1506" w:type="dxa"/>
          </w:tcPr>
          <w:p>
            <w:pPr>
              <w:spacing w:line="360" w:lineRule="auto"/>
              <w:rPr>
                <w:sz w:val="24"/>
                <w:highlight w:val="none"/>
              </w:rPr>
            </w:pPr>
            <w:r>
              <w:rPr>
                <w:rFonts w:hint="eastAsia"/>
                <w:sz w:val="24"/>
                <w:highlight w:val="none"/>
              </w:rPr>
              <w:t>/</w:t>
            </w:r>
          </w:p>
        </w:tc>
        <w:tc>
          <w:tcPr>
            <w:tcW w:w="1714" w:type="dxa"/>
          </w:tcPr>
          <w:p>
            <w:pPr>
              <w:spacing w:line="360" w:lineRule="auto"/>
              <w:rPr>
                <w:sz w:val="24"/>
                <w:highlight w:val="none"/>
              </w:rPr>
            </w:pPr>
            <w:r>
              <w:rPr>
                <w:rFonts w:hint="eastAsia"/>
                <w:sz w:val="24"/>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06" w:type="dxa"/>
          </w:tcPr>
          <w:p>
            <w:pPr>
              <w:spacing w:line="360" w:lineRule="auto"/>
              <w:rPr>
                <w:sz w:val="24"/>
                <w:highlight w:val="none"/>
              </w:rPr>
            </w:pPr>
            <w:r>
              <w:rPr>
                <w:rFonts w:hint="eastAsia"/>
                <w:sz w:val="24"/>
                <w:highlight w:val="none"/>
              </w:rPr>
              <w:t>钴</w:t>
            </w:r>
          </w:p>
        </w:tc>
        <w:tc>
          <w:tcPr>
            <w:tcW w:w="1506" w:type="dxa"/>
          </w:tcPr>
          <w:p>
            <w:pPr>
              <w:spacing w:line="360" w:lineRule="auto"/>
              <w:rPr>
                <w:sz w:val="24"/>
                <w:highlight w:val="none"/>
              </w:rPr>
            </w:pPr>
            <w:r>
              <w:rPr>
                <w:rFonts w:hint="eastAsia"/>
                <w:sz w:val="24"/>
                <w:highlight w:val="none"/>
              </w:rPr>
              <w:t>/</w:t>
            </w:r>
          </w:p>
        </w:tc>
        <w:tc>
          <w:tcPr>
            <w:tcW w:w="1506" w:type="dxa"/>
          </w:tcPr>
          <w:p>
            <w:pPr>
              <w:spacing w:line="360" w:lineRule="auto"/>
              <w:rPr>
                <w:sz w:val="24"/>
                <w:highlight w:val="none"/>
              </w:rPr>
            </w:pPr>
            <w:r>
              <w:rPr>
                <w:rFonts w:hint="eastAsia"/>
                <w:sz w:val="24"/>
                <w:highlight w:val="none"/>
              </w:rPr>
              <w:t>/</w:t>
            </w:r>
          </w:p>
        </w:tc>
        <w:tc>
          <w:tcPr>
            <w:tcW w:w="1714" w:type="dxa"/>
          </w:tcPr>
          <w:p>
            <w:pPr>
              <w:spacing w:line="360" w:lineRule="auto"/>
              <w:rPr>
                <w:sz w:val="24"/>
                <w:highlight w:val="none"/>
              </w:rPr>
            </w:pPr>
            <w:r>
              <w:rPr>
                <w:rFonts w:hint="eastAsia"/>
                <w:sz w:val="24"/>
                <w:highlight w:val="no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铜</w:t>
            </w:r>
          </w:p>
        </w:tc>
        <w:tc>
          <w:tcPr>
            <w:tcW w:w="1506" w:type="dxa"/>
          </w:tcPr>
          <w:p>
            <w:pPr>
              <w:spacing w:line="360" w:lineRule="auto"/>
              <w:rPr>
                <w:sz w:val="24"/>
                <w:highlight w:val="none"/>
              </w:rPr>
            </w:pPr>
            <w:r>
              <w:rPr>
                <w:rFonts w:hint="eastAsia"/>
                <w:sz w:val="24"/>
                <w:highlight w:val="none"/>
              </w:rPr>
              <w:t>/</w:t>
            </w:r>
          </w:p>
        </w:tc>
        <w:tc>
          <w:tcPr>
            <w:tcW w:w="1506" w:type="dxa"/>
          </w:tcPr>
          <w:p>
            <w:pPr>
              <w:spacing w:line="360" w:lineRule="auto"/>
              <w:rPr>
                <w:sz w:val="24"/>
                <w:highlight w:val="none"/>
              </w:rPr>
            </w:pPr>
            <w:r>
              <w:rPr>
                <w:rFonts w:hint="eastAsia"/>
                <w:sz w:val="24"/>
                <w:highlight w:val="none"/>
              </w:rPr>
              <w:t>/</w:t>
            </w:r>
          </w:p>
        </w:tc>
        <w:tc>
          <w:tcPr>
            <w:tcW w:w="1714" w:type="dxa"/>
          </w:tcPr>
          <w:p>
            <w:pPr>
              <w:spacing w:line="360" w:lineRule="auto"/>
              <w:rPr>
                <w:sz w:val="24"/>
                <w:highlight w:val="none"/>
              </w:rPr>
            </w:pPr>
            <w:r>
              <w:rPr>
                <w:rFonts w:hint="eastAsia"/>
                <w:sz w:val="24"/>
                <w:highlight w:val="none"/>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锰</w:t>
            </w:r>
          </w:p>
        </w:tc>
        <w:tc>
          <w:tcPr>
            <w:tcW w:w="1506" w:type="dxa"/>
          </w:tcPr>
          <w:p>
            <w:pPr>
              <w:spacing w:line="360" w:lineRule="auto"/>
              <w:rPr>
                <w:sz w:val="24"/>
                <w:highlight w:val="none"/>
              </w:rPr>
            </w:pPr>
            <w:r>
              <w:rPr>
                <w:rFonts w:hint="eastAsia"/>
                <w:sz w:val="24"/>
                <w:highlight w:val="none"/>
              </w:rPr>
              <w:t>/</w:t>
            </w:r>
          </w:p>
        </w:tc>
        <w:tc>
          <w:tcPr>
            <w:tcW w:w="1506" w:type="dxa"/>
          </w:tcPr>
          <w:p>
            <w:pPr>
              <w:spacing w:line="360" w:lineRule="auto"/>
              <w:rPr>
                <w:sz w:val="24"/>
                <w:highlight w:val="none"/>
              </w:rPr>
            </w:pPr>
            <w:r>
              <w:rPr>
                <w:rFonts w:hint="eastAsia"/>
                <w:sz w:val="24"/>
                <w:highlight w:val="none"/>
              </w:rPr>
              <w:t>/</w:t>
            </w:r>
          </w:p>
        </w:tc>
        <w:tc>
          <w:tcPr>
            <w:tcW w:w="1714" w:type="dxa"/>
          </w:tcPr>
          <w:p>
            <w:pPr>
              <w:spacing w:line="360" w:lineRule="auto"/>
              <w:rPr>
                <w:sz w:val="24"/>
                <w:highlight w:val="none"/>
              </w:rPr>
            </w:pPr>
            <w:r>
              <w:rPr>
                <w:rFonts w:hint="eastAsia"/>
                <w:sz w:val="24"/>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06" w:type="dxa"/>
          </w:tcPr>
          <w:p>
            <w:pPr>
              <w:spacing w:line="360" w:lineRule="auto"/>
              <w:rPr>
                <w:sz w:val="24"/>
                <w:highlight w:val="none"/>
              </w:rPr>
            </w:pPr>
            <w:r>
              <w:rPr>
                <w:rFonts w:hint="eastAsia"/>
                <w:sz w:val="24"/>
                <w:highlight w:val="none"/>
              </w:rPr>
              <w:t>镍</w:t>
            </w:r>
          </w:p>
        </w:tc>
        <w:tc>
          <w:tcPr>
            <w:tcW w:w="1506" w:type="dxa"/>
          </w:tcPr>
          <w:p>
            <w:pPr>
              <w:spacing w:line="360" w:lineRule="auto"/>
              <w:rPr>
                <w:sz w:val="24"/>
                <w:highlight w:val="none"/>
              </w:rPr>
            </w:pPr>
            <w:r>
              <w:rPr>
                <w:rFonts w:hint="eastAsia"/>
                <w:sz w:val="24"/>
                <w:highlight w:val="none"/>
              </w:rPr>
              <w:t>/</w:t>
            </w:r>
          </w:p>
        </w:tc>
        <w:tc>
          <w:tcPr>
            <w:tcW w:w="1506" w:type="dxa"/>
          </w:tcPr>
          <w:p>
            <w:pPr>
              <w:spacing w:line="360" w:lineRule="auto"/>
              <w:rPr>
                <w:sz w:val="24"/>
                <w:highlight w:val="none"/>
              </w:rPr>
            </w:pPr>
            <w:r>
              <w:rPr>
                <w:rFonts w:hint="eastAsia"/>
                <w:sz w:val="24"/>
                <w:highlight w:val="none"/>
              </w:rPr>
              <w:t>/</w:t>
            </w:r>
          </w:p>
        </w:tc>
        <w:tc>
          <w:tcPr>
            <w:tcW w:w="1714" w:type="dxa"/>
          </w:tcPr>
          <w:p>
            <w:pPr>
              <w:spacing w:line="360" w:lineRule="auto"/>
              <w:rPr>
                <w:sz w:val="24"/>
                <w:highlight w:val="none"/>
              </w:rPr>
            </w:pPr>
            <w:r>
              <w:rPr>
                <w:rFonts w:hint="eastAsia"/>
                <w:sz w:val="24"/>
                <w:highlight w:val="none"/>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06" w:type="dxa"/>
          </w:tcPr>
          <w:p>
            <w:pPr>
              <w:spacing w:line="360" w:lineRule="auto"/>
              <w:rPr>
                <w:sz w:val="24"/>
                <w:highlight w:val="none"/>
              </w:rPr>
            </w:pPr>
            <w:r>
              <w:rPr>
                <w:rFonts w:hint="eastAsia"/>
                <w:sz w:val="24"/>
                <w:highlight w:val="none"/>
              </w:rPr>
              <w:t>锶</w:t>
            </w:r>
          </w:p>
        </w:tc>
        <w:tc>
          <w:tcPr>
            <w:tcW w:w="1506" w:type="dxa"/>
            <w:vAlign w:val="top"/>
          </w:tcPr>
          <w:p>
            <w:pPr>
              <w:spacing w:line="360" w:lineRule="auto"/>
              <w:rPr>
                <w:sz w:val="24"/>
                <w:highlight w:val="none"/>
              </w:rPr>
            </w:pPr>
            <w:r>
              <w:rPr>
                <w:rFonts w:hint="eastAsia"/>
                <w:sz w:val="24"/>
                <w:highlight w:val="none"/>
              </w:rPr>
              <w:t>/</w:t>
            </w:r>
          </w:p>
        </w:tc>
        <w:tc>
          <w:tcPr>
            <w:tcW w:w="1506" w:type="dxa"/>
            <w:vAlign w:val="top"/>
          </w:tcPr>
          <w:p>
            <w:pPr>
              <w:spacing w:line="360" w:lineRule="auto"/>
              <w:rPr>
                <w:sz w:val="24"/>
                <w:highlight w:val="none"/>
              </w:rPr>
            </w:pPr>
            <w:r>
              <w:rPr>
                <w:rFonts w:hint="eastAsia"/>
                <w:sz w:val="24"/>
                <w:highlight w:val="none"/>
              </w:rPr>
              <w:t>/</w:t>
            </w:r>
          </w:p>
        </w:tc>
        <w:tc>
          <w:tcPr>
            <w:tcW w:w="1714" w:type="dxa"/>
          </w:tcPr>
          <w:p>
            <w:pPr>
              <w:spacing w:line="360" w:lineRule="auto"/>
              <w:rPr>
                <w:sz w:val="24"/>
                <w:highlight w:val="none"/>
              </w:rPr>
            </w:pPr>
            <w:r>
              <w:rPr>
                <w:rFonts w:hint="eastAsia"/>
                <w:sz w:val="24"/>
                <w:highlight w:val="none"/>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锡</w:t>
            </w:r>
          </w:p>
        </w:tc>
        <w:tc>
          <w:tcPr>
            <w:tcW w:w="1506" w:type="dxa"/>
          </w:tcPr>
          <w:p>
            <w:pPr>
              <w:spacing w:line="360" w:lineRule="auto"/>
              <w:rPr>
                <w:sz w:val="24"/>
                <w:highlight w:val="none"/>
              </w:rPr>
            </w:pPr>
            <w:r>
              <w:rPr>
                <w:rFonts w:hint="eastAsia"/>
                <w:sz w:val="24"/>
                <w:highlight w:val="none"/>
              </w:rPr>
              <w:t>/</w:t>
            </w:r>
          </w:p>
        </w:tc>
        <w:tc>
          <w:tcPr>
            <w:tcW w:w="1506" w:type="dxa"/>
          </w:tcPr>
          <w:p>
            <w:pPr>
              <w:spacing w:line="360" w:lineRule="auto"/>
              <w:rPr>
                <w:sz w:val="24"/>
                <w:highlight w:val="none"/>
              </w:rPr>
            </w:pPr>
            <w:r>
              <w:rPr>
                <w:rFonts w:hint="eastAsia"/>
                <w:sz w:val="24"/>
                <w:highlight w:val="none"/>
              </w:rPr>
              <w:t>/</w:t>
            </w:r>
          </w:p>
        </w:tc>
        <w:tc>
          <w:tcPr>
            <w:tcW w:w="1714" w:type="dxa"/>
          </w:tcPr>
          <w:p>
            <w:pPr>
              <w:spacing w:line="360" w:lineRule="auto"/>
              <w:rPr>
                <w:sz w:val="24"/>
                <w:highlight w:val="none"/>
              </w:rPr>
            </w:pPr>
            <w:r>
              <w:rPr>
                <w:rFonts w:hint="eastAsia"/>
                <w:sz w:val="24"/>
                <w:highlight w:val="none"/>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有机锡</w:t>
            </w:r>
          </w:p>
        </w:tc>
        <w:tc>
          <w:tcPr>
            <w:tcW w:w="1506" w:type="dxa"/>
          </w:tcPr>
          <w:p>
            <w:pPr>
              <w:spacing w:line="360" w:lineRule="auto"/>
              <w:rPr>
                <w:sz w:val="24"/>
                <w:highlight w:val="none"/>
              </w:rPr>
            </w:pPr>
            <w:r>
              <w:rPr>
                <w:rFonts w:hint="eastAsia"/>
                <w:sz w:val="24"/>
                <w:highlight w:val="none"/>
              </w:rPr>
              <w:t>/</w:t>
            </w:r>
          </w:p>
        </w:tc>
        <w:tc>
          <w:tcPr>
            <w:tcW w:w="1506" w:type="dxa"/>
          </w:tcPr>
          <w:p>
            <w:pPr>
              <w:spacing w:line="360" w:lineRule="auto"/>
              <w:rPr>
                <w:sz w:val="24"/>
                <w:highlight w:val="none"/>
              </w:rPr>
            </w:pPr>
            <w:r>
              <w:rPr>
                <w:rFonts w:hint="eastAsia"/>
                <w:sz w:val="24"/>
                <w:highlight w:val="none"/>
              </w:rPr>
              <w:t>/</w:t>
            </w:r>
          </w:p>
        </w:tc>
        <w:tc>
          <w:tcPr>
            <w:tcW w:w="1714" w:type="dxa"/>
          </w:tcPr>
          <w:p>
            <w:pPr>
              <w:spacing w:line="360" w:lineRule="auto"/>
              <w:rPr>
                <w:sz w:val="24"/>
                <w:highlight w:val="none"/>
              </w:rPr>
            </w:pPr>
            <w:r>
              <w:rPr>
                <w:rFonts w:hint="eastAsia"/>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6" w:type="dxa"/>
          </w:tcPr>
          <w:p>
            <w:pPr>
              <w:spacing w:line="360" w:lineRule="auto"/>
              <w:rPr>
                <w:sz w:val="24"/>
                <w:highlight w:val="none"/>
              </w:rPr>
            </w:pPr>
            <w:r>
              <w:rPr>
                <w:rFonts w:hint="eastAsia"/>
                <w:sz w:val="24"/>
                <w:highlight w:val="none"/>
              </w:rPr>
              <w:t>锌</w:t>
            </w:r>
          </w:p>
        </w:tc>
        <w:tc>
          <w:tcPr>
            <w:tcW w:w="1506" w:type="dxa"/>
          </w:tcPr>
          <w:p>
            <w:pPr>
              <w:spacing w:line="360" w:lineRule="auto"/>
              <w:rPr>
                <w:sz w:val="24"/>
                <w:highlight w:val="none"/>
              </w:rPr>
            </w:pPr>
            <w:r>
              <w:rPr>
                <w:rFonts w:hint="eastAsia"/>
                <w:sz w:val="24"/>
                <w:highlight w:val="none"/>
              </w:rPr>
              <w:t>/</w:t>
            </w:r>
          </w:p>
        </w:tc>
        <w:tc>
          <w:tcPr>
            <w:tcW w:w="1506" w:type="dxa"/>
          </w:tcPr>
          <w:p>
            <w:pPr>
              <w:spacing w:line="360" w:lineRule="auto"/>
              <w:rPr>
                <w:sz w:val="24"/>
                <w:highlight w:val="none"/>
              </w:rPr>
            </w:pPr>
            <w:r>
              <w:rPr>
                <w:rFonts w:hint="eastAsia"/>
                <w:sz w:val="24"/>
                <w:highlight w:val="none"/>
              </w:rPr>
              <w:t>/</w:t>
            </w:r>
          </w:p>
        </w:tc>
        <w:tc>
          <w:tcPr>
            <w:tcW w:w="1714" w:type="dxa"/>
          </w:tcPr>
          <w:p>
            <w:pPr>
              <w:spacing w:line="360" w:lineRule="auto"/>
              <w:rPr>
                <w:sz w:val="24"/>
                <w:highlight w:val="none"/>
              </w:rPr>
            </w:pPr>
            <w:r>
              <w:rPr>
                <w:rFonts w:hint="eastAsia"/>
                <w:sz w:val="24"/>
                <w:highlight w:val="none"/>
              </w:rPr>
              <w:t>46000</w:t>
            </w:r>
          </w:p>
        </w:tc>
      </w:tr>
    </w:tbl>
    <w:p>
      <w:pPr>
        <w:spacing w:line="360" w:lineRule="auto"/>
        <w:ind w:firstLine="480" w:firstLineChars="200"/>
        <w:rPr>
          <w:rFonts w:ascii="宋体" w:hAnsi="宋体"/>
          <w:kern w:val="0"/>
          <w:sz w:val="24"/>
          <w:highlight w:val="none"/>
        </w:rPr>
      </w:pPr>
    </w:p>
    <w:p>
      <w:pPr>
        <w:spacing w:line="360" w:lineRule="auto"/>
        <w:ind w:firstLine="480" w:firstLineChars="200"/>
        <w:rPr>
          <w:rFonts w:ascii="宋体" w:hAnsi="宋体"/>
          <w:kern w:val="0"/>
          <w:sz w:val="24"/>
          <w:highlight w:val="none"/>
        </w:rPr>
      </w:pPr>
    </w:p>
    <w:p>
      <w:pPr>
        <w:spacing w:line="360" w:lineRule="auto"/>
        <w:ind w:firstLine="480" w:firstLineChars="200"/>
        <w:rPr>
          <w:rFonts w:ascii="宋体" w:hAnsi="宋体"/>
          <w:kern w:val="0"/>
          <w:sz w:val="24"/>
          <w:highlight w:val="none"/>
        </w:rPr>
      </w:pPr>
    </w:p>
    <w:p>
      <w:pPr>
        <w:spacing w:line="360" w:lineRule="auto"/>
        <w:ind w:firstLine="480" w:firstLineChars="200"/>
        <w:rPr>
          <w:rFonts w:ascii="宋体" w:hAnsi="宋体"/>
          <w:kern w:val="0"/>
          <w:sz w:val="24"/>
          <w:highlight w:val="none"/>
        </w:rPr>
      </w:pPr>
    </w:p>
    <w:p>
      <w:pPr>
        <w:spacing w:line="360" w:lineRule="auto"/>
        <w:ind w:firstLine="480" w:firstLineChars="200"/>
        <w:rPr>
          <w:rFonts w:ascii="宋体" w:hAnsi="宋体"/>
          <w:kern w:val="0"/>
          <w:sz w:val="24"/>
          <w:highlight w:val="none"/>
        </w:rPr>
      </w:pPr>
    </w:p>
    <w:p>
      <w:pPr>
        <w:spacing w:line="360" w:lineRule="auto"/>
        <w:ind w:firstLine="480" w:firstLineChars="200"/>
        <w:rPr>
          <w:rFonts w:ascii="宋体" w:hAnsi="宋体"/>
          <w:kern w:val="0"/>
          <w:sz w:val="24"/>
          <w:highlight w:val="none"/>
        </w:rPr>
      </w:pPr>
    </w:p>
    <w:p>
      <w:pPr>
        <w:spacing w:line="360" w:lineRule="auto"/>
        <w:ind w:firstLine="480" w:firstLineChars="200"/>
        <w:rPr>
          <w:rFonts w:ascii="宋体" w:hAnsi="宋体"/>
          <w:kern w:val="0"/>
          <w:sz w:val="24"/>
          <w:highlight w:val="none"/>
        </w:rPr>
      </w:pPr>
    </w:p>
    <w:p>
      <w:pPr>
        <w:spacing w:line="360" w:lineRule="auto"/>
        <w:ind w:firstLine="480" w:firstLineChars="200"/>
        <w:rPr>
          <w:rFonts w:ascii="宋体" w:hAnsi="宋体"/>
          <w:kern w:val="0"/>
          <w:sz w:val="24"/>
          <w:highlight w:val="none"/>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r>
        <w:rPr>
          <w:rFonts w:hint="eastAsia" w:ascii="宋体" w:hAnsi="宋体"/>
          <w:kern w:val="0"/>
          <w:sz w:val="24"/>
        </w:rPr>
        <w:t>b.提高的技术指标</w:t>
      </w:r>
    </w:p>
    <w:p>
      <w:pPr>
        <w:spacing w:line="360" w:lineRule="auto"/>
        <w:ind w:firstLine="480" w:firstLineChars="200"/>
        <w:rPr>
          <w:rFonts w:ascii="宋体" w:hAnsi="宋体"/>
          <w:kern w:val="0"/>
          <w:sz w:val="24"/>
        </w:rPr>
      </w:pPr>
      <w:r>
        <w:rPr>
          <w:rFonts w:hint="eastAsia" w:ascii="宋体" w:hAnsi="宋体"/>
          <w:kern w:val="0"/>
          <w:sz w:val="24"/>
        </w:rPr>
        <w:t>1）套印误差指标由0.20mm提高到0.15mm，使各色组之间的印刷误差套印准确，获得良好的印刷效果；</w:t>
      </w:r>
    </w:p>
    <w:p>
      <w:pPr>
        <w:spacing w:line="360" w:lineRule="auto"/>
        <w:ind w:firstLine="480" w:firstLineChars="200"/>
        <w:rPr>
          <w:rFonts w:ascii="宋体" w:hAnsi="宋体"/>
          <w:kern w:val="0"/>
          <w:sz w:val="24"/>
        </w:rPr>
      </w:pPr>
      <w:r>
        <w:rPr>
          <w:rFonts w:hint="eastAsia" w:ascii="宋体" w:hAnsi="宋体"/>
          <w:kern w:val="0"/>
          <w:sz w:val="24"/>
        </w:rPr>
        <w:t>2）增加了网目线数，使印刷效果均匀完美；</w:t>
      </w:r>
    </w:p>
    <w:p>
      <w:pPr>
        <w:spacing w:line="360" w:lineRule="auto"/>
        <w:ind w:firstLine="480" w:firstLineChars="200"/>
        <w:rPr>
          <w:rFonts w:ascii="宋体" w:hAnsi="宋体"/>
          <w:kern w:val="0"/>
          <w:sz w:val="24"/>
        </w:rPr>
      </w:pPr>
      <w:r>
        <w:rPr>
          <w:rFonts w:hint="eastAsia" w:ascii="宋体" w:hAnsi="宋体"/>
          <w:kern w:val="0"/>
          <w:sz w:val="24"/>
        </w:rPr>
        <w:t>3）规范了生产工艺操作，不仅提高产品生产质量，而且提高厂商生产效率；</w:t>
      </w:r>
    </w:p>
    <w:p>
      <w:pPr>
        <w:spacing w:line="360" w:lineRule="auto"/>
        <w:ind w:firstLine="480" w:firstLineChars="200"/>
        <w:rPr>
          <w:rFonts w:ascii="宋体" w:hAnsi="宋体"/>
          <w:kern w:val="0"/>
          <w:sz w:val="24"/>
        </w:rPr>
      </w:pPr>
      <w:r>
        <w:rPr>
          <w:rFonts w:hint="eastAsia" w:ascii="宋体" w:hAnsi="宋体"/>
          <w:kern w:val="0"/>
          <w:sz w:val="24"/>
        </w:rPr>
        <w:t>4）减小了色差范围，产品色差范围一律按照GB/T7705精细产品规格；</w:t>
      </w:r>
    </w:p>
    <w:p>
      <w:pPr>
        <w:spacing w:line="360" w:lineRule="auto"/>
        <w:ind w:firstLine="480" w:firstLineChars="200"/>
        <w:rPr>
          <w:rFonts w:ascii="宋体" w:hAnsi="宋体"/>
          <w:kern w:val="0"/>
          <w:sz w:val="24"/>
        </w:rPr>
      </w:pPr>
      <w:r>
        <w:rPr>
          <w:rFonts w:hint="eastAsia" w:ascii="宋体" w:hAnsi="宋体"/>
          <w:kern w:val="0"/>
          <w:sz w:val="24"/>
        </w:rPr>
        <w:t>5）精细了来料供货商的检验要求，根据</w:t>
      </w:r>
      <w:r>
        <w:rPr>
          <w:rFonts w:hint="eastAsia" w:ascii="宋体" w:hAnsi="宋体"/>
          <w:kern w:val="0"/>
          <w:sz w:val="24"/>
          <w:lang w:val="en-US" w:eastAsia="zh-CN"/>
        </w:rPr>
        <w:t>企业</w:t>
      </w:r>
      <w:r>
        <w:rPr>
          <w:rFonts w:hint="eastAsia" w:ascii="宋体" w:hAnsi="宋体"/>
          <w:kern w:val="0"/>
          <w:sz w:val="24"/>
        </w:rPr>
        <w:t>实际生产情况及需求，减少不必要检验项目，严格必要检验项目指标。</w:t>
      </w:r>
    </w:p>
    <w:p>
      <w:pPr>
        <w:spacing w:line="360" w:lineRule="auto"/>
        <w:ind w:firstLine="480" w:firstLineChars="200"/>
        <w:rPr>
          <w:rFonts w:ascii="宋体" w:hAnsi="宋体"/>
          <w:kern w:val="0"/>
          <w:sz w:val="24"/>
        </w:rPr>
      </w:pPr>
      <w:r>
        <w:rPr>
          <w:rFonts w:hint="eastAsia" w:ascii="宋体" w:hAnsi="宋体"/>
          <w:kern w:val="0"/>
          <w:sz w:val="24"/>
        </w:rPr>
        <w:t>c.内容修改说明</w:t>
      </w:r>
    </w:p>
    <w:p>
      <w:pPr>
        <w:spacing w:line="360" w:lineRule="auto"/>
        <w:ind w:firstLine="480" w:firstLineChars="200"/>
        <w:rPr>
          <w:rFonts w:hint="eastAsia" w:ascii="宋体" w:hAnsi="宋体"/>
          <w:kern w:val="0"/>
          <w:sz w:val="24"/>
        </w:rPr>
      </w:pPr>
      <w:r>
        <w:rPr>
          <w:rFonts w:hint="eastAsia" w:ascii="宋体" w:hAnsi="宋体"/>
          <w:kern w:val="0"/>
          <w:sz w:val="24"/>
        </w:rPr>
        <w:t>将标准草稿的4.3设备要求、4.4和工艺要求放置于资料性附录E，因为该内容放入资料性附录中比较合理。</w:t>
      </w:r>
    </w:p>
    <w:p>
      <w:pPr>
        <w:numPr>
          <w:ilvl w:val="0"/>
          <w:numId w:val="0"/>
        </w:numPr>
        <w:spacing w:line="360" w:lineRule="auto"/>
        <w:ind w:firstLine="562" w:firstLineChars="200"/>
        <w:jc w:val="both"/>
        <w:rPr>
          <w:rFonts w:ascii="宋体" w:hAnsi="宋体"/>
          <w:b/>
          <w:bCs/>
          <w:kern w:val="0"/>
          <w:sz w:val="28"/>
          <w:szCs w:val="28"/>
        </w:rPr>
      </w:pPr>
      <w:r>
        <w:rPr>
          <w:rFonts w:hint="eastAsia" w:ascii="宋体" w:hAnsi="宋体"/>
          <w:b/>
          <w:bCs/>
          <w:kern w:val="0"/>
          <w:sz w:val="28"/>
          <w:szCs w:val="28"/>
        </w:rPr>
        <w:t>三、主要试验（或验证）情况分析</w:t>
      </w:r>
    </w:p>
    <w:p>
      <w:pPr>
        <w:spacing w:line="360" w:lineRule="auto"/>
        <w:ind w:firstLine="480" w:firstLineChars="200"/>
        <w:rPr>
          <w:rFonts w:ascii="宋体" w:hAnsi="宋体"/>
          <w:kern w:val="0"/>
          <w:sz w:val="24"/>
        </w:rPr>
      </w:pPr>
      <w:r>
        <w:rPr>
          <w:rFonts w:hint="eastAsia" w:ascii="宋体" w:hAnsi="宋体"/>
          <w:kern w:val="0"/>
          <w:sz w:val="24"/>
        </w:rPr>
        <w:t>基于先进性定位，</w:t>
      </w:r>
      <w:r>
        <w:rPr>
          <w:rFonts w:hint="eastAsia" w:ascii="宋体" w:hAnsi="宋体"/>
          <w:kern w:val="0"/>
          <w:sz w:val="24"/>
          <w:lang w:val="en-US" w:eastAsia="zh-CN"/>
        </w:rPr>
        <w:t>企业</w:t>
      </w:r>
      <w:r>
        <w:rPr>
          <w:rFonts w:hint="eastAsia" w:ascii="宋体" w:hAnsi="宋体"/>
          <w:kern w:val="0"/>
          <w:sz w:val="24"/>
        </w:rPr>
        <w:t>多次对标相关或先进标准指标值，并结合自身实际生产水平，不断调整适合自身的技术指标，下述为多次验证的情况。</w:t>
      </w:r>
    </w:p>
    <w:p>
      <w:pPr>
        <w:spacing w:line="360" w:lineRule="auto"/>
        <w:ind w:firstLine="480" w:firstLineChars="200"/>
        <w:rPr>
          <w:rFonts w:ascii="宋体" w:hAnsi="宋体"/>
          <w:kern w:val="0"/>
          <w:sz w:val="24"/>
        </w:rPr>
      </w:pPr>
      <w:r>
        <w:rPr>
          <w:rFonts w:hint="eastAsia" w:ascii="宋体" w:hAnsi="宋体"/>
          <w:kern w:val="0"/>
          <w:sz w:val="24"/>
        </w:rPr>
        <w:t>1）卡游于2021年12月23日送检产品中，纸质产品的荧光性物质（荧光增白剂）、高锰酸钾消耗量未达标；塑料产品的脱色实验未达标。</w:t>
      </w:r>
    </w:p>
    <w:p>
      <w:pPr>
        <w:spacing w:line="360" w:lineRule="auto"/>
        <w:ind w:firstLine="480" w:firstLineChars="200"/>
        <w:rPr>
          <w:sz w:val="24"/>
          <w:szCs w:val="32"/>
        </w:rPr>
      </w:pPr>
      <w:r>
        <w:rPr>
          <w:rFonts w:hint="eastAsia"/>
          <w:sz w:val="24"/>
          <w:szCs w:val="32"/>
        </w:rPr>
        <w:t>2）经过卡游、STC、西安理工大学课题组三方会商，查阅以下标准标准文本及相关文献。</w:t>
      </w:r>
    </w:p>
    <w:p>
      <w:pPr>
        <w:spacing w:line="360" w:lineRule="auto"/>
        <w:ind w:firstLine="480" w:firstLineChars="200"/>
        <w:rPr>
          <w:sz w:val="24"/>
          <w:szCs w:val="32"/>
        </w:rPr>
      </w:pPr>
      <w:r>
        <w:rPr>
          <w:rFonts w:hint="eastAsia"/>
          <w:sz w:val="24"/>
          <w:szCs w:val="32"/>
        </w:rPr>
        <w:t>[1] CY/T250-2021《绿色印刷 转移接装纸印制过程控制要求》；</w:t>
      </w:r>
    </w:p>
    <w:p>
      <w:pPr>
        <w:spacing w:line="360" w:lineRule="auto"/>
        <w:ind w:firstLine="480" w:firstLineChars="200"/>
        <w:rPr>
          <w:sz w:val="24"/>
          <w:szCs w:val="32"/>
        </w:rPr>
      </w:pPr>
      <w:r>
        <w:rPr>
          <w:rFonts w:hint="eastAsia"/>
          <w:sz w:val="24"/>
          <w:szCs w:val="32"/>
        </w:rPr>
        <w:t>[2] CY/T129-2015《绿色印刷 术语》；</w:t>
      </w:r>
    </w:p>
    <w:p>
      <w:pPr>
        <w:spacing w:line="360" w:lineRule="auto"/>
        <w:ind w:firstLine="480" w:firstLineChars="200"/>
        <w:rPr>
          <w:sz w:val="24"/>
          <w:szCs w:val="32"/>
        </w:rPr>
      </w:pPr>
      <w:r>
        <w:rPr>
          <w:rFonts w:hint="eastAsia"/>
          <w:sz w:val="24"/>
          <w:szCs w:val="32"/>
        </w:rPr>
        <w:t>[3] CY/T130.1-2015《绿色印刷 通用技术要求与评价方法 第1部分：平版印刷》；</w:t>
      </w:r>
    </w:p>
    <w:p>
      <w:pPr>
        <w:spacing w:line="360" w:lineRule="auto"/>
        <w:ind w:firstLine="480" w:firstLineChars="200"/>
        <w:rPr>
          <w:sz w:val="24"/>
          <w:szCs w:val="32"/>
        </w:rPr>
      </w:pPr>
      <w:r>
        <w:rPr>
          <w:rFonts w:hint="eastAsia"/>
          <w:sz w:val="24"/>
          <w:szCs w:val="32"/>
        </w:rPr>
        <w:t>[4] CY/T131-2015《绿色印刷 产品抽样方法及测试部位确定原则》；</w:t>
      </w:r>
    </w:p>
    <w:p>
      <w:pPr>
        <w:spacing w:line="360" w:lineRule="auto"/>
        <w:ind w:firstLine="480" w:firstLineChars="200"/>
        <w:rPr>
          <w:sz w:val="24"/>
          <w:szCs w:val="32"/>
        </w:rPr>
      </w:pPr>
      <w:r>
        <w:rPr>
          <w:rFonts w:hint="eastAsia"/>
          <w:sz w:val="24"/>
          <w:szCs w:val="32"/>
        </w:rPr>
        <w:t>[5] CY/T132.1-2015《绿色印刷 产品合格判定准则 第1部分：阅读类印刷品》；</w:t>
      </w:r>
    </w:p>
    <w:p>
      <w:pPr>
        <w:spacing w:line="360" w:lineRule="auto"/>
        <w:ind w:firstLine="480" w:firstLineChars="200"/>
        <w:rPr>
          <w:sz w:val="24"/>
          <w:szCs w:val="32"/>
        </w:rPr>
      </w:pPr>
      <w:r>
        <w:rPr>
          <w:rFonts w:hint="eastAsia"/>
          <w:sz w:val="24"/>
          <w:szCs w:val="32"/>
        </w:rPr>
        <w:t>[6] GB/T18359-2009《中小学教科书用纸、印刷质量要求和检验方法》。</w:t>
      </w:r>
    </w:p>
    <w:p>
      <w:pPr>
        <w:spacing w:line="360" w:lineRule="auto"/>
        <w:ind w:firstLine="480" w:firstLineChars="200"/>
        <w:rPr>
          <w:sz w:val="24"/>
          <w:szCs w:val="32"/>
        </w:rPr>
      </w:pPr>
      <w:r>
        <w:rPr>
          <w:rFonts w:hint="eastAsia"/>
          <w:sz w:val="24"/>
          <w:szCs w:val="32"/>
        </w:rPr>
        <w:t>3）分析可知：</w:t>
      </w:r>
    </w:p>
    <w:p>
      <w:pPr>
        <w:spacing w:line="360" w:lineRule="auto"/>
        <w:ind w:firstLine="482" w:firstLineChars="200"/>
        <w:rPr>
          <w:b/>
          <w:bCs/>
          <w:sz w:val="24"/>
          <w:szCs w:val="32"/>
        </w:rPr>
      </w:pPr>
      <w:r>
        <w:rPr>
          <w:rFonts w:hint="eastAsia"/>
          <w:b/>
          <w:bCs/>
          <w:sz w:val="24"/>
          <w:szCs w:val="32"/>
        </w:rPr>
        <w:t>a.荧光性物质检测</w:t>
      </w:r>
    </w:p>
    <w:p>
      <w:pPr>
        <w:spacing w:line="360" w:lineRule="auto"/>
        <w:ind w:firstLine="480" w:firstLineChars="200"/>
        <w:rPr>
          <w:sz w:val="24"/>
          <w:szCs w:val="32"/>
        </w:rPr>
      </w:pPr>
      <w:r>
        <w:rPr>
          <w:rFonts w:hint="eastAsia"/>
          <w:sz w:val="24"/>
          <w:szCs w:val="32"/>
        </w:rPr>
        <w:t>原执行标准GB4806.8-2016《食品安全国家标准 食品接触用纸和纸板材料及制品》检测指标为定性指标，只有阴阳两性结果。</w:t>
      </w:r>
    </w:p>
    <w:p>
      <w:pPr>
        <w:spacing w:line="360" w:lineRule="auto"/>
        <w:ind w:firstLine="480" w:firstLineChars="200"/>
        <w:rPr>
          <w:sz w:val="24"/>
          <w:szCs w:val="32"/>
        </w:rPr>
      </w:pPr>
      <w:r>
        <w:rPr>
          <w:rFonts w:hint="eastAsia"/>
          <w:sz w:val="24"/>
          <w:szCs w:val="32"/>
        </w:rPr>
        <w:t>CY/T132.1-2015《绿色印刷 产品合格判定准则》对可迁移性荧光增白剂限量做出要求，限值为</w:t>
      </w:r>
      <w:r>
        <w:rPr>
          <w:rFonts w:hint="eastAsia"/>
          <w:sz w:val="24"/>
          <w:szCs w:val="32"/>
          <w:lang w:val="en-US" w:eastAsia="zh-CN"/>
        </w:rPr>
        <w:t>≤</w:t>
      </w:r>
      <w:r>
        <w:rPr>
          <w:rFonts w:hint="eastAsia"/>
          <w:sz w:val="24"/>
          <w:szCs w:val="32"/>
        </w:rPr>
        <w:t>800mg/kg。</w:t>
      </w:r>
    </w:p>
    <w:p>
      <w:pPr>
        <w:spacing w:line="360" w:lineRule="auto"/>
        <w:ind w:firstLine="482" w:firstLineChars="200"/>
        <w:rPr>
          <w:b/>
          <w:bCs/>
          <w:sz w:val="24"/>
          <w:szCs w:val="32"/>
        </w:rPr>
      </w:pPr>
      <w:r>
        <w:rPr>
          <w:rFonts w:hint="eastAsia"/>
          <w:b/>
          <w:bCs/>
          <w:sz w:val="24"/>
          <w:szCs w:val="32"/>
        </w:rPr>
        <w:t>b.高锰酸钾消耗量检测</w:t>
      </w:r>
    </w:p>
    <w:p>
      <w:pPr>
        <w:spacing w:line="360" w:lineRule="auto"/>
        <w:ind w:firstLine="480" w:firstLineChars="200"/>
        <w:rPr>
          <w:sz w:val="24"/>
          <w:szCs w:val="32"/>
        </w:rPr>
      </w:pPr>
      <w:r>
        <w:rPr>
          <w:rFonts w:hint="eastAsia"/>
          <w:sz w:val="24"/>
          <w:szCs w:val="32"/>
        </w:rPr>
        <w:t>原执行标准GB4806.8-2016《食品安全国家标准 食品接触用纸和纸板材料及制品》检测指标为</w:t>
      </w:r>
      <w:r>
        <w:rPr>
          <w:rFonts w:ascii="Arial" w:hAnsi="Arial" w:cs="Arial"/>
          <w:sz w:val="24"/>
          <w:szCs w:val="32"/>
        </w:rPr>
        <w:t>≤</w:t>
      </w:r>
      <w:r>
        <w:rPr>
          <w:rFonts w:hint="eastAsia"/>
          <w:sz w:val="24"/>
          <w:szCs w:val="32"/>
        </w:rPr>
        <w:t>40mg/kg，卡游送检数据中第一次检测数据为68mg/kg，第二次检测数据为74mg/kg。</w:t>
      </w:r>
    </w:p>
    <w:p>
      <w:pPr>
        <w:spacing w:line="360" w:lineRule="auto"/>
        <w:ind w:firstLine="480" w:firstLineChars="200"/>
        <w:rPr>
          <w:sz w:val="24"/>
          <w:szCs w:val="32"/>
        </w:rPr>
      </w:pPr>
      <w:r>
        <w:rPr>
          <w:rFonts w:hint="eastAsia"/>
          <w:sz w:val="24"/>
          <w:szCs w:val="32"/>
        </w:rPr>
        <w:t>在查阅的标准及文献中未找到与该项目相关的内容。</w:t>
      </w:r>
    </w:p>
    <w:p>
      <w:pPr>
        <w:spacing w:line="360" w:lineRule="auto"/>
        <w:ind w:firstLine="480" w:firstLineChars="200"/>
        <w:rPr>
          <w:rFonts w:hint="default" w:eastAsia="宋体"/>
          <w:sz w:val="24"/>
          <w:szCs w:val="32"/>
          <w:lang w:val="en-US" w:eastAsia="zh-CN"/>
        </w:rPr>
      </w:pPr>
      <w:r>
        <w:rPr>
          <w:rFonts w:hint="eastAsia"/>
          <w:sz w:val="24"/>
          <w:szCs w:val="32"/>
        </w:rPr>
        <w:t>经查阅其他文献，得知高锰酸钾消耗量多用于与食品接触项目中，比如包装、餐具托盘等，GB4806.8标准规定，预期直接接触液态食品、表面有游离水或游离脂肪的纸和纸板材料及制品需要进行高锰酸钾消耗量测试。</w:t>
      </w:r>
    </w:p>
    <w:p>
      <w:pPr>
        <w:spacing w:line="360" w:lineRule="auto"/>
        <w:ind w:firstLine="482" w:firstLineChars="200"/>
        <w:rPr>
          <w:b/>
          <w:bCs/>
          <w:sz w:val="24"/>
          <w:szCs w:val="32"/>
        </w:rPr>
      </w:pPr>
      <w:r>
        <w:rPr>
          <w:rFonts w:hint="eastAsia"/>
          <w:b/>
          <w:bCs/>
          <w:sz w:val="24"/>
          <w:szCs w:val="32"/>
        </w:rPr>
        <w:t>c.脱色</w:t>
      </w:r>
      <w:r>
        <w:rPr>
          <w:rFonts w:hint="eastAsia"/>
          <w:b/>
          <w:bCs/>
          <w:sz w:val="24"/>
          <w:szCs w:val="32"/>
          <w:lang w:val="en-US" w:eastAsia="zh-CN"/>
        </w:rPr>
        <w:t>试验</w:t>
      </w:r>
    </w:p>
    <w:p>
      <w:pPr>
        <w:spacing w:line="360" w:lineRule="auto"/>
        <w:ind w:firstLine="480" w:firstLineChars="200"/>
        <w:rPr>
          <w:sz w:val="24"/>
          <w:szCs w:val="32"/>
        </w:rPr>
      </w:pPr>
      <w:r>
        <w:rPr>
          <w:rFonts w:hint="eastAsia"/>
          <w:sz w:val="24"/>
          <w:szCs w:val="32"/>
        </w:rPr>
        <w:t>原执行标准GB4806.8-2016《食品安全国家标准 食品接触用纸和纸板材料及制品》检测指标为定性指标，只有阴阳两性结果。</w:t>
      </w:r>
    </w:p>
    <w:p>
      <w:pPr>
        <w:spacing w:line="360" w:lineRule="auto"/>
        <w:ind w:firstLine="480" w:firstLineChars="200"/>
        <w:rPr>
          <w:sz w:val="24"/>
          <w:szCs w:val="32"/>
        </w:rPr>
      </w:pPr>
      <w:r>
        <w:rPr>
          <w:rFonts w:hint="eastAsia"/>
          <w:sz w:val="24"/>
          <w:szCs w:val="32"/>
        </w:rPr>
        <w:t>在查阅的标准及文献中，该项目多为定性指标，未找到其具体指标，无法依据脱色程度判断是否合格。</w:t>
      </w:r>
    </w:p>
    <w:p>
      <w:pPr>
        <w:spacing w:line="360" w:lineRule="auto"/>
        <w:ind w:firstLine="480" w:firstLineChars="200"/>
        <w:rPr>
          <w:sz w:val="24"/>
          <w:szCs w:val="32"/>
        </w:rPr>
      </w:pPr>
      <w:r>
        <w:rPr>
          <w:rFonts w:hint="eastAsia"/>
          <w:sz w:val="24"/>
          <w:szCs w:val="32"/>
        </w:rPr>
        <w:t>4)分析结论</w:t>
      </w:r>
    </w:p>
    <w:p>
      <w:pPr>
        <w:spacing w:line="360" w:lineRule="auto"/>
        <w:ind w:firstLine="480" w:firstLineChars="200"/>
        <w:rPr>
          <w:sz w:val="24"/>
          <w:szCs w:val="32"/>
        </w:rPr>
      </w:pPr>
      <w:r>
        <w:rPr>
          <w:rFonts w:hint="eastAsia"/>
          <w:sz w:val="24"/>
          <w:szCs w:val="32"/>
        </w:rPr>
        <w:t>a.荧光性物质可参考CY/T132.1-2015《绿色印刷 产品合格判定准则》中对可迁移性荧光增白剂的限值</w:t>
      </w:r>
      <w:r>
        <w:rPr>
          <w:rFonts w:hint="eastAsia"/>
          <w:sz w:val="24"/>
          <w:szCs w:val="32"/>
          <w:lang w:val="en-US" w:eastAsia="zh-CN"/>
        </w:rPr>
        <w:t>≤</w:t>
      </w:r>
      <w:r>
        <w:rPr>
          <w:rFonts w:hint="eastAsia"/>
          <w:sz w:val="24"/>
          <w:szCs w:val="32"/>
        </w:rPr>
        <w:t>800mg/kg；</w:t>
      </w:r>
    </w:p>
    <w:p>
      <w:pPr>
        <w:spacing w:line="360" w:lineRule="auto"/>
        <w:ind w:firstLine="480" w:firstLineChars="200"/>
        <w:rPr>
          <w:rFonts w:hint="eastAsia" w:eastAsia="宋体"/>
          <w:sz w:val="24"/>
          <w:szCs w:val="32"/>
          <w:lang w:eastAsia="zh-CN"/>
        </w:rPr>
      </w:pPr>
      <w:r>
        <w:rPr>
          <w:rFonts w:hint="eastAsia"/>
          <w:sz w:val="24"/>
          <w:szCs w:val="32"/>
        </w:rPr>
        <w:t>b.因卡牌属于非直接接触液态食品、表面无游离水或游离脂肪的纸和纸板制品，故考虑放弃高锰酸钾消耗量测试</w:t>
      </w:r>
      <w:r>
        <w:rPr>
          <w:rFonts w:hint="eastAsia"/>
          <w:sz w:val="24"/>
          <w:szCs w:val="32"/>
          <w:lang w:eastAsia="zh-CN"/>
        </w:rPr>
        <w:t>；</w:t>
      </w:r>
    </w:p>
    <w:p>
      <w:pPr>
        <w:spacing w:line="360" w:lineRule="auto"/>
        <w:ind w:firstLine="480" w:firstLineChars="200"/>
        <w:rPr>
          <w:sz w:val="24"/>
          <w:szCs w:val="32"/>
        </w:rPr>
      </w:pPr>
      <w:r>
        <w:rPr>
          <w:rFonts w:hint="eastAsia"/>
          <w:sz w:val="24"/>
          <w:szCs w:val="32"/>
        </w:rPr>
        <w:t>c.脱色</w:t>
      </w:r>
      <w:r>
        <w:rPr>
          <w:rFonts w:hint="eastAsia"/>
          <w:sz w:val="24"/>
          <w:szCs w:val="32"/>
          <w:lang w:val="en-US" w:eastAsia="zh-CN"/>
        </w:rPr>
        <w:t>试</w:t>
      </w:r>
      <w:r>
        <w:rPr>
          <w:rFonts w:hint="eastAsia"/>
          <w:sz w:val="24"/>
          <w:szCs w:val="32"/>
        </w:rPr>
        <w:t>验由于无法依据脱色程度判断产品是否合格，故考虑放弃该检测项目。</w:t>
      </w:r>
    </w:p>
    <w:p>
      <w:pPr>
        <w:numPr>
          <w:ilvl w:val="0"/>
          <w:numId w:val="0"/>
        </w:numPr>
        <w:ind w:firstLine="0" w:firstLineChars="0"/>
        <w:jc w:val="left"/>
        <w:rPr>
          <w:rFonts w:ascii="宋体" w:hAnsi="宋体"/>
          <w:b/>
          <w:bCs/>
          <w:kern w:val="0"/>
          <w:sz w:val="28"/>
          <w:szCs w:val="28"/>
        </w:rPr>
      </w:pPr>
      <w:r>
        <w:rPr>
          <w:rFonts w:hint="eastAsia" w:ascii="宋体" w:hAnsi="宋体"/>
          <w:b/>
          <w:bCs/>
          <w:kern w:val="0"/>
          <w:sz w:val="28"/>
          <w:szCs w:val="28"/>
        </w:rPr>
        <w:t>四、标准中如果涉及专利，应提供全部专利所有权人的专利许可声明和专利披露声明</w:t>
      </w:r>
    </w:p>
    <w:p>
      <w:pPr>
        <w:spacing w:line="360" w:lineRule="auto"/>
        <w:ind w:firstLine="480" w:firstLineChars="200"/>
        <w:rPr>
          <w:rFonts w:ascii="宋体" w:hAnsi="宋体"/>
          <w:kern w:val="0"/>
          <w:sz w:val="24"/>
        </w:rPr>
      </w:pPr>
      <w:r>
        <w:rPr>
          <w:rFonts w:hint="eastAsia" w:ascii="宋体" w:hAnsi="宋体"/>
          <w:kern w:val="0"/>
          <w:sz w:val="24"/>
        </w:rPr>
        <w:t>本标准不涉及专利。</w:t>
      </w:r>
    </w:p>
    <w:p>
      <w:pPr>
        <w:numPr>
          <w:ilvl w:val="0"/>
          <w:numId w:val="0"/>
        </w:numPr>
        <w:ind w:firstLine="0" w:firstLineChars="0"/>
        <w:jc w:val="left"/>
        <w:rPr>
          <w:rFonts w:ascii="宋体" w:hAnsi="宋体"/>
          <w:b/>
          <w:bCs/>
          <w:kern w:val="0"/>
          <w:sz w:val="28"/>
          <w:szCs w:val="28"/>
        </w:rPr>
      </w:pPr>
      <w:r>
        <w:rPr>
          <w:rFonts w:hint="eastAsia" w:ascii="宋体" w:hAnsi="宋体"/>
          <w:b/>
          <w:bCs/>
          <w:kern w:val="0"/>
          <w:sz w:val="28"/>
          <w:szCs w:val="28"/>
        </w:rPr>
        <w:t>五、预期达到的社会效益、对产业发展的作用等情况</w:t>
      </w:r>
    </w:p>
    <w:p>
      <w:pPr>
        <w:spacing w:line="360" w:lineRule="auto"/>
        <w:ind w:firstLine="480" w:firstLineChars="200"/>
        <w:rPr>
          <w:rFonts w:hint="default" w:ascii="宋体" w:hAnsi="宋体" w:eastAsia="宋体"/>
          <w:kern w:val="0"/>
          <w:sz w:val="24"/>
          <w:lang w:val="en-US" w:eastAsia="zh-CN"/>
        </w:rPr>
      </w:pPr>
      <w:r>
        <w:rPr>
          <w:rFonts w:hint="eastAsia" w:ascii="宋体" w:hAnsi="宋体"/>
          <w:kern w:val="0"/>
          <w:sz w:val="24"/>
        </w:rPr>
        <w:t>现有游戏卡牌类玩具市场井喷式发展</w:t>
      </w:r>
      <w:r>
        <w:rPr>
          <w:rFonts w:hint="eastAsia" w:ascii="宋体" w:hAnsi="宋体"/>
          <w:kern w:val="0"/>
          <w:sz w:val="24"/>
          <w:lang w:val="en-US" w:eastAsia="zh-CN"/>
        </w:rPr>
        <w:t xml:space="preserve"> 建议可以补充下行业情况数据</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本次申报的卡牌玩具产品标准是维护卡牌市场的有力管控措施，不仅可弥补现阶段无卡牌专用产品标准的空白，为产品的设计、制造、检验、出口等持续发展提供保证，提高产品质量，同时也保障了生产商及消费者的保护权益。</w:t>
      </w:r>
    </w:p>
    <w:p>
      <w:pPr>
        <w:shd w:val="clear" w:color="auto" w:fill="FFFFFF"/>
        <w:spacing w:line="360" w:lineRule="auto"/>
        <w:ind w:firstLine="480" w:firstLineChars="200"/>
        <w:jc w:val="left"/>
        <w:textAlignment w:val="top"/>
        <w:rPr>
          <w:rFonts w:ascii="宋体" w:hAnsi="宋体"/>
          <w:kern w:val="0"/>
          <w:sz w:val="24"/>
        </w:rPr>
      </w:pPr>
      <w:r>
        <w:rPr>
          <w:rFonts w:hint="eastAsia" w:ascii="宋体" w:hAnsi="宋体"/>
          <w:sz w:val="24"/>
          <w:shd w:val="clear" w:color="auto" w:fill="FFFFFF"/>
        </w:rPr>
        <w:t>本次申报的游戏卡牌团体标准从安全、性能指标到检测方法，建立一套适用于卡牌自身的产品标准，解决了现有部分玩具安全通用标准年龄分组不适用于游戏卡牌、现有标准化学安全指标较宽松，也解决现有产品性能标准的问题。</w:t>
      </w:r>
    </w:p>
    <w:p>
      <w:pPr>
        <w:numPr>
          <w:ilvl w:val="0"/>
          <w:numId w:val="0"/>
        </w:numPr>
        <w:ind w:firstLine="0" w:firstLineChars="0"/>
        <w:jc w:val="left"/>
        <w:rPr>
          <w:rFonts w:ascii="宋体" w:hAnsi="宋体"/>
          <w:b/>
          <w:bCs/>
          <w:kern w:val="0"/>
          <w:sz w:val="28"/>
          <w:szCs w:val="28"/>
        </w:rPr>
      </w:pPr>
      <w:r>
        <w:rPr>
          <w:rFonts w:hint="eastAsia" w:ascii="宋体" w:hAnsi="宋体"/>
          <w:b/>
          <w:bCs/>
          <w:kern w:val="0"/>
          <w:sz w:val="28"/>
          <w:szCs w:val="28"/>
        </w:rPr>
        <w:t>六、采用国际标准和国外先进标准情况，与国际、国外同类标准水平的对比情况，国内外关键指标对比分析或与测试的国外样品、样机的相关数据对比情况</w:t>
      </w:r>
    </w:p>
    <w:p>
      <w:pPr>
        <w:spacing w:line="360" w:lineRule="auto"/>
        <w:ind w:firstLine="480" w:firstLineChars="200"/>
        <w:rPr>
          <w:rFonts w:ascii="宋体" w:hAnsi="宋体"/>
          <w:b/>
          <w:bCs/>
          <w:kern w:val="0"/>
          <w:sz w:val="28"/>
          <w:szCs w:val="28"/>
        </w:rPr>
      </w:pPr>
      <w:r>
        <w:rPr>
          <w:rFonts w:hint="eastAsia" w:ascii="宋体" w:hAnsi="宋体"/>
          <w:sz w:val="24"/>
          <w:shd w:val="clear" w:color="auto" w:fill="FFFFFF"/>
        </w:rPr>
        <w:t>经过前期资料查询和信息检索，暂未发现与卡牌有关的明确法律法规文件，国内现存的卡牌团标多以扑克牌行标、玩具安全通用标准为编写参考，国外暂未找到卡牌产品标准的参考文件。卡牌作为一种年龄分组偏小的文化衍生品类玩具，这些现有的标准均不适用于卡牌。国内玩具安全通用标准GB6675系列的化学安全类标准与国际标准EN71-3相比，检测指标较宽松，一方面不利于保护消费者权益，另一方面不利于产品出口。同时国内扑克牌平滑度检测方法不适用于工艺更复杂的游戏卡牌，生产商不能获得准确的平滑度参数，这对生产制造产生了一定困扰。</w:t>
      </w:r>
    </w:p>
    <w:p>
      <w:pPr>
        <w:numPr>
          <w:ilvl w:val="0"/>
          <w:numId w:val="0"/>
        </w:numPr>
        <w:ind w:firstLine="0" w:firstLineChars="0"/>
        <w:jc w:val="left"/>
        <w:rPr>
          <w:rFonts w:ascii="宋体" w:hAnsi="宋体"/>
          <w:kern w:val="0"/>
          <w:sz w:val="28"/>
          <w:szCs w:val="28"/>
        </w:rPr>
      </w:pPr>
      <w:r>
        <w:rPr>
          <w:rFonts w:hint="eastAsia" w:ascii="宋体" w:hAnsi="宋体"/>
          <w:b/>
          <w:bCs/>
          <w:kern w:val="0"/>
          <w:sz w:val="28"/>
          <w:szCs w:val="28"/>
        </w:rPr>
        <w:t>七、在标准体系中的位置，与现行相关法律、法规、规章及相关标准，特别是与强制性标准的协调性</w:t>
      </w:r>
      <w:r>
        <w:rPr>
          <w:rFonts w:hint="eastAsia" w:ascii="宋体" w:hAnsi="宋体"/>
          <w:kern w:val="0"/>
          <w:sz w:val="28"/>
          <w:szCs w:val="28"/>
        </w:rPr>
        <w:t xml:space="preserve"> </w:t>
      </w:r>
    </w:p>
    <w:p>
      <w:pPr>
        <w:spacing w:line="360" w:lineRule="auto"/>
        <w:ind w:firstLine="480" w:firstLineChars="200"/>
        <w:rPr>
          <w:rFonts w:ascii="宋体" w:hAnsi="宋体"/>
          <w:kern w:val="0"/>
          <w:sz w:val="28"/>
          <w:szCs w:val="28"/>
        </w:rPr>
      </w:pPr>
      <w:r>
        <w:rPr>
          <w:rFonts w:hint="eastAsia" w:ascii="宋体" w:hAnsi="宋体"/>
          <w:sz w:val="24"/>
          <w:shd w:val="clear" w:color="auto" w:fill="FFFFFF"/>
        </w:rPr>
        <w:t>本次计划制定的标准是对现有玩具安全类标准体系的补充完善，标准制定的目的是基于保护消费者与生产商双方权益目的，从产品安全、性能指标到检测方法方面建立一套适用于游戏卡牌本身的产品标准，本次计划制定的标准和已经实施的GB</w:t>
      </w:r>
      <w:r>
        <w:rPr>
          <w:rFonts w:ascii="宋体" w:hAnsi="宋体"/>
          <w:sz w:val="24"/>
          <w:shd w:val="clear" w:color="auto" w:fill="FFFFFF"/>
        </w:rPr>
        <w:t xml:space="preserve"> </w:t>
      </w:r>
      <w:r>
        <w:rPr>
          <w:rFonts w:hint="eastAsia" w:ascii="宋体" w:hAnsi="宋体"/>
          <w:sz w:val="24"/>
          <w:shd w:val="clear" w:color="auto" w:fill="FFFFFF"/>
        </w:rPr>
        <w:t>6675系列玩具安全类标准是协调配套的，与现行标准、制定中标准均无抵触。</w:t>
      </w:r>
    </w:p>
    <w:p>
      <w:pPr>
        <w:numPr>
          <w:ilvl w:val="0"/>
          <w:numId w:val="0"/>
        </w:numPr>
        <w:ind w:firstLine="0" w:firstLineChars="0"/>
        <w:jc w:val="left"/>
        <w:rPr>
          <w:rFonts w:ascii="宋体" w:hAnsi="宋体"/>
          <w:b/>
          <w:bCs/>
          <w:kern w:val="0"/>
          <w:sz w:val="28"/>
          <w:szCs w:val="28"/>
        </w:rPr>
      </w:pPr>
      <w:r>
        <w:rPr>
          <w:rFonts w:hint="eastAsia" w:ascii="宋体" w:hAnsi="宋体"/>
          <w:b/>
          <w:bCs/>
          <w:kern w:val="0"/>
          <w:sz w:val="28"/>
          <w:szCs w:val="28"/>
        </w:rPr>
        <w:t>八、重大分歧意见的处理经过和依据</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本标准在制定过程中无重大分歧意见。</w:t>
      </w:r>
    </w:p>
    <w:p>
      <w:pPr>
        <w:numPr>
          <w:ilvl w:val="0"/>
          <w:numId w:val="0"/>
        </w:numPr>
        <w:ind w:firstLine="0" w:firstLineChars="0"/>
        <w:jc w:val="left"/>
        <w:rPr>
          <w:rFonts w:ascii="宋体" w:hAnsi="宋体"/>
          <w:b/>
          <w:bCs/>
          <w:kern w:val="0"/>
          <w:sz w:val="28"/>
          <w:szCs w:val="28"/>
        </w:rPr>
      </w:pPr>
      <w:r>
        <w:rPr>
          <w:rFonts w:hint="eastAsia" w:ascii="宋体" w:hAnsi="宋体"/>
          <w:b/>
          <w:bCs/>
          <w:kern w:val="0"/>
          <w:sz w:val="28"/>
          <w:szCs w:val="28"/>
          <w:lang w:val="en-US" w:eastAsia="zh-CN"/>
        </w:rPr>
        <w:t>九</w:t>
      </w:r>
      <w:r>
        <w:rPr>
          <w:rFonts w:hint="eastAsia" w:ascii="宋体" w:hAnsi="宋体"/>
          <w:b/>
          <w:bCs/>
          <w:kern w:val="0"/>
          <w:sz w:val="28"/>
          <w:szCs w:val="28"/>
        </w:rPr>
        <w:t>、贯彻标准的要求和措施建议（包括组织措施、技术措施、过渡办法、实施日期等）</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lang w:val="en-US" w:eastAsia="zh-CN"/>
        </w:rPr>
        <w:t>建议本</w:t>
      </w:r>
      <w:r>
        <w:rPr>
          <w:rFonts w:hint="eastAsia" w:ascii="宋体" w:hAnsi="宋体"/>
          <w:sz w:val="24"/>
          <w:shd w:val="clear" w:color="auto" w:fill="FFFFFF"/>
        </w:rPr>
        <w:t>标准发布之日期即可实施。</w:t>
      </w:r>
    </w:p>
    <w:p>
      <w:pPr>
        <w:numPr>
          <w:ilvl w:val="0"/>
          <w:numId w:val="0"/>
        </w:numPr>
        <w:ind w:firstLine="0" w:firstLineChars="0"/>
        <w:jc w:val="left"/>
        <w:rPr>
          <w:rFonts w:ascii="宋体" w:hAnsi="宋体"/>
          <w:b/>
          <w:bCs/>
          <w:kern w:val="0"/>
          <w:sz w:val="28"/>
          <w:szCs w:val="28"/>
        </w:rPr>
      </w:pPr>
      <w:r>
        <w:rPr>
          <w:rFonts w:hint="eastAsia" w:ascii="宋体" w:hAnsi="宋体"/>
          <w:b/>
          <w:bCs/>
          <w:kern w:val="0"/>
          <w:sz w:val="28"/>
          <w:szCs w:val="28"/>
        </w:rPr>
        <w:t>十、废止现行相关标准的建议</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无代替或废止的标准。</w:t>
      </w:r>
    </w:p>
    <w:p>
      <w:pPr>
        <w:numPr>
          <w:ilvl w:val="0"/>
          <w:numId w:val="0"/>
        </w:numPr>
        <w:ind w:firstLine="0" w:firstLineChars="0"/>
        <w:jc w:val="left"/>
        <w:rPr>
          <w:rFonts w:ascii="宋体" w:hAnsi="宋体"/>
          <w:b/>
          <w:bCs/>
          <w:kern w:val="0"/>
          <w:sz w:val="28"/>
          <w:szCs w:val="28"/>
        </w:rPr>
      </w:pPr>
      <w:r>
        <w:rPr>
          <w:rFonts w:hint="eastAsia" w:ascii="宋体" w:hAnsi="宋体"/>
          <w:b/>
          <w:bCs/>
          <w:kern w:val="0"/>
          <w:sz w:val="28"/>
          <w:szCs w:val="28"/>
        </w:rPr>
        <w:t>十</w:t>
      </w:r>
      <w:r>
        <w:rPr>
          <w:rFonts w:hint="eastAsia" w:ascii="宋体" w:hAnsi="宋体"/>
          <w:b/>
          <w:bCs/>
          <w:kern w:val="0"/>
          <w:sz w:val="28"/>
          <w:szCs w:val="28"/>
          <w:lang w:val="en-US" w:eastAsia="zh-CN"/>
        </w:rPr>
        <w:t>一</w:t>
      </w:r>
      <w:r>
        <w:rPr>
          <w:rFonts w:hint="eastAsia" w:ascii="宋体" w:hAnsi="宋体"/>
          <w:b/>
          <w:bCs/>
          <w:kern w:val="0"/>
          <w:sz w:val="28"/>
          <w:szCs w:val="28"/>
        </w:rPr>
        <w:t>、其他应予说明的事项。</w:t>
      </w:r>
    </w:p>
    <w:p>
      <w:pPr>
        <w:spacing w:line="360" w:lineRule="auto"/>
        <w:ind w:firstLine="480" w:firstLineChars="200"/>
        <w:rPr>
          <w:rFonts w:hint="default" w:ascii="宋体" w:hAnsi="宋体" w:eastAsia="宋体"/>
          <w:sz w:val="24"/>
          <w:shd w:val="clear" w:color="auto" w:fill="FFFFFF"/>
          <w:lang w:val="en-US" w:eastAsia="zh-CN"/>
        </w:rPr>
      </w:pPr>
      <w:r>
        <w:rPr>
          <w:rFonts w:hint="eastAsia" w:ascii="宋体" w:hAnsi="宋体"/>
          <w:sz w:val="24"/>
          <w:shd w:val="clear" w:color="auto" w:fill="FFFFFF"/>
        </w:rPr>
        <w:t>无。</w:t>
      </w:r>
      <w:r>
        <w:rPr>
          <w:rFonts w:hint="eastAsia" w:ascii="宋体" w:hAnsi="宋体"/>
          <w:sz w:val="24"/>
          <w:shd w:val="clear" w:color="auto" w:fill="FFFFFF"/>
          <w:lang w:val="en-US" w:eastAsia="zh-CN"/>
        </w:rPr>
        <w:t>名称若改则这里写改名情况及理由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27ACE"/>
    <w:multiLevelType w:val="singleLevel"/>
    <w:tmpl w:val="06B27ACE"/>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ZTdmODAwZjdjZDI4NDgyMTM5MzZjMjliMGFhNmYifQ=="/>
  </w:docVars>
  <w:rsids>
    <w:rsidRoot w:val="00E83F1B"/>
    <w:rsid w:val="00447A06"/>
    <w:rsid w:val="006652ED"/>
    <w:rsid w:val="007F70F4"/>
    <w:rsid w:val="00A23E77"/>
    <w:rsid w:val="00A85505"/>
    <w:rsid w:val="00BF4715"/>
    <w:rsid w:val="00E01B9D"/>
    <w:rsid w:val="00E83F1B"/>
    <w:rsid w:val="00F54E83"/>
    <w:rsid w:val="0355138A"/>
    <w:rsid w:val="08C27736"/>
    <w:rsid w:val="33952031"/>
    <w:rsid w:val="3B8F5EAD"/>
    <w:rsid w:val="46FD1754"/>
    <w:rsid w:val="57D04231"/>
    <w:rsid w:val="59004414"/>
    <w:rsid w:val="6A8C27C2"/>
    <w:rsid w:val="6DE0683B"/>
    <w:rsid w:val="70574EC9"/>
    <w:rsid w:val="7A5A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kern w:val="2"/>
      <w:sz w:val="18"/>
      <w:szCs w:val="18"/>
    </w:rPr>
  </w:style>
  <w:style w:type="character" w:customStyle="1" w:styleId="9">
    <w:name w:val="页脚 字符"/>
    <w:basedOn w:val="7"/>
    <w:link w:val="3"/>
    <w:qFormat/>
    <w:uiPriority w:val="99"/>
    <w:rPr>
      <w:rFonts w:ascii="Times New Roman" w:hAnsi="Times New Roman" w:eastAsia="宋体" w:cs="Times New Roman"/>
      <w:kern w:val="2"/>
      <w:sz w:val="18"/>
      <w:szCs w:val="18"/>
    </w:rPr>
  </w:style>
  <w:style w:type="paragraph" w:customStyle="1" w:styleId="1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3903</Words>
  <Characters>4367</Characters>
  <Lines>30</Lines>
  <Paragraphs>8</Paragraphs>
  <TotalTime>5</TotalTime>
  <ScaleCrop>false</ScaleCrop>
  <LinksUpToDate>false</LinksUpToDate>
  <CharactersWithSpaces>4392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2022-04-21T05:53:00Z</dcterms:created>
  <dc:creator>19698</dc:creator>
  <cp:lastModifiedBy>综合业务部</cp:lastModifiedBy>
  <dcterms:modified xsi:type="dcterms:W3CDTF">2022-09-07T07:52:31Z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B51415777C474AA48D505FDBB37B160F</vt:lpwstr>
  </property>
</Properties>
</file>